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5C" w:rsidRDefault="00B6285C" w:rsidP="00B6285C">
      <w:pPr>
        <w:pStyle w:val="Nzev"/>
      </w:pPr>
    </w:p>
    <w:p w:rsidR="00B6285C" w:rsidRDefault="000D2565" w:rsidP="00B6285C">
      <w:pPr>
        <w:pStyle w:val="Nzev"/>
      </w:pPr>
      <w:r>
        <w:rPr>
          <w:noProof/>
          <w:lang w:eastAsia="cs-CZ"/>
        </w:rPr>
        <w:drawing>
          <wp:inline distT="0" distB="0" distL="0" distR="0" wp14:anchorId="5E96F71F" wp14:editId="609355D3">
            <wp:extent cx="3267075" cy="623570"/>
            <wp:effectExtent l="0" t="0" r="0" b="0"/>
            <wp:docPr id="6" name="Obrázek 2" descr="C:\Users\Admin\Documents\TUL\DFP\marketing_grafika\logo_FP\logo_2011_10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" descr="C:\Users\Admin\Documents\TUL\DFP\marketing_grafika\logo_FP\logo_2011_10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85C" w:rsidRDefault="00B6285C" w:rsidP="00B6285C">
      <w:pPr>
        <w:pStyle w:val="Nadpis4"/>
        <w:jc w:val="center"/>
        <w:rPr>
          <w:rFonts w:ascii="Verdana" w:hAnsi="Verdana"/>
        </w:rPr>
      </w:pPr>
    </w:p>
    <w:p w:rsidR="000D2565" w:rsidRDefault="000D2565" w:rsidP="000D2565">
      <w:pPr>
        <w:rPr>
          <w:b/>
          <w:sz w:val="48"/>
          <w:szCs w:val="48"/>
        </w:rPr>
      </w:pPr>
    </w:p>
    <w:p w:rsidR="000D2565" w:rsidRDefault="000D2565" w:rsidP="000D2565">
      <w:pPr>
        <w:rPr>
          <w:b/>
          <w:sz w:val="48"/>
          <w:szCs w:val="48"/>
        </w:rPr>
      </w:pPr>
    </w:p>
    <w:p w:rsidR="000D2565" w:rsidRDefault="000D2565" w:rsidP="000D2565">
      <w:pPr>
        <w:rPr>
          <w:b/>
          <w:sz w:val="48"/>
          <w:szCs w:val="48"/>
        </w:rPr>
      </w:pPr>
    </w:p>
    <w:p w:rsidR="000D2565" w:rsidRPr="00F66710" w:rsidRDefault="000D2565" w:rsidP="000D2565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Název opory</w:t>
      </w:r>
      <w:r>
        <w:rPr>
          <w:b/>
          <w:sz w:val="48"/>
          <w:szCs w:val="48"/>
        </w:rPr>
        <w:t xml:space="preserve">: </w:t>
      </w:r>
      <w:r>
        <w:rPr>
          <w:b/>
          <w:sz w:val="48"/>
          <w:szCs w:val="48"/>
        </w:rPr>
        <w:t>Pedagogické systémy v 19. století – základní přehled</w:t>
      </w:r>
    </w:p>
    <w:p w:rsidR="000D2565" w:rsidRPr="00F66710" w:rsidRDefault="000D2565" w:rsidP="000D2565">
      <w:pPr>
        <w:rPr>
          <w:b/>
          <w:sz w:val="48"/>
          <w:szCs w:val="48"/>
        </w:rPr>
      </w:pPr>
    </w:p>
    <w:p w:rsidR="000D2565" w:rsidRDefault="000D2565" w:rsidP="000D2565">
      <w:pPr>
        <w:rPr>
          <w:b/>
          <w:sz w:val="48"/>
          <w:szCs w:val="48"/>
        </w:rPr>
      </w:pPr>
    </w:p>
    <w:p w:rsidR="000D2565" w:rsidRDefault="000D2565" w:rsidP="000D2565">
      <w:pPr>
        <w:rPr>
          <w:b/>
          <w:sz w:val="48"/>
          <w:szCs w:val="48"/>
        </w:rPr>
      </w:pPr>
    </w:p>
    <w:p w:rsidR="000D2565" w:rsidRPr="00F66710" w:rsidRDefault="000D2565" w:rsidP="000D2565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Autor</w:t>
      </w:r>
      <w:r>
        <w:rPr>
          <w:b/>
          <w:sz w:val="48"/>
          <w:szCs w:val="48"/>
        </w:rPr>
        <w:t xml:space="preserve">: doc. PhDr. Tomáš </w:t>
      </w:r>
      <w:proofErr w:type="spellStart"/>
      <w:r>
        <w:rPr>
          <w:b/>
          <w:sz w:val="48"/>
          <w:szCs w:val="48"/>
        </w:rPr>
        <w:t>Kasper</w:t>
      </w:r>
      <w:proofErr w:type="spellEnd"/>
      <w:r>
        <w:rPr>
          <w:b/>
          <w:sz w:val="48"/>
          <w:szCs w:val="48"/>
        </w:rPr>
        <w:t>, Ph.D.</w:t>
      </w:r>
    </w:p>
    <w:p w:rsidR="000D2565" w:rsidRDefault="000D2565" w:rsidP="000D2565"/>
    <w:p w:rsidR="000D2565" w:rsidRDefault="000D2565" w:rsidP="000D2565"/>
    <w:p w:rsidR="000D2565" w:rsidRDefault="000D2565" w:rsidP="000D2565"/>
    <w:p w:rsidR="000D2565" w:rsidRDefault="000D2565" w:rsidP="000D2565"/>
    <w:p w:rsidR="000D2565" w:rsidRDefault="000D2565" w:rsidP="000D2565"/>
    <w:p w:rsidR="000D2565" w:rsidRDefault="000D2565" w:rsidP="000D2565">
      <w:pPr>
        <w:rPr>
          <w:rFonts w:ascii="Verdana" w:eastAsia="Calibri" w:hAnsi="Verdana" w:cs="Arial"/>
          <w:b/>
          <w:sz w:val="28"/>
          <w:szCs w:val="28"/>
        </w:rPr>
      </w:pPr>
      <w:r w:rsidRPr="00F66710">
        <w:t xml:space="preserve">Studijní opora čerpá z podkladů, které vznikly v rámci ESF projektu č. </w:t>
      </w:r>
      <w:r w:rsidRPr="00BE2DD0">
        <w:rPr>
          <w:rFonts w:eastAsia="Calibri"/>
        </w:rPr>
        <w:t>CZ.1.07/2.2.00/18.0027</w:t>
      </w:r>
    </w:p>
    <w:p w:rsidR="00B6285C" w:rsidRDefault="00B6285C" w:rsidP="00B6285C">
      <w:pPr>
        <w:jc w:val="center"/>
        <w:rPr>
          <w:rFonts w:ascii="Verdana" w:eastAsia="Calibri" w:hAnsi="Verdana"/>
          <w:b/>
          <w:sz w:val="28"/>
          <w:szCs w:val="28"/>
        </w:rPr>
      </w:pPr>
    </w:p>
    <w:p w:rsidR="000D2565" w:rsidRDefault="000D2565" w:rsidP="00B6285C">
      <w:pPr>
        <w:jc w:val="center"/>
        <w:rPr>
          <w:rFonts w:ascii="Verdana" w:eastAsia="Calibri" w:hAnsi="Verdana"/>
          <w:b/>
          <w:sz w:val="28"/>
          <w:szCs w:val="28"/>
        </w:rPr>
      </w:pPr>
    </w:p>
    <w:p w:rsidR="000D2565" w:rsidRDefault="000D2565" w:rsidP="00B6285C">
      <w:pPr>
        <w:jc w:val="center"/>
        <w:rPr>
          <w:rFonts w:ascii="Verdana" w:eastAsia="Calibri" w:hAnsi="Verdana"/>
          <w:b/>
          <w:sz w:val="28"/>
          <w:szCs w:val="28"/>
        </w:rPr>
      </w:pPr>
    </w:p>
    <w:p w:rsidR="000D2565" w:rsidRDefault="000D2565" w:rsidP="00B6285C">
      <w:pPr>
        <w:jc w:val="center"/>
        <w:rPr>
          <w:rFonts w:ascii="Verdana" w:eastAsia="Calibri" w:hAnsi="Verdana"/>
          <w:b/>
          <w:sz w:val="28"/>
          <w:szCs w:val="28"/>
        </w:rPr>
      </w:pPr>
    </w:p>
    <w:p w:rsidR="000D2565" w:rsidRDefault="000D2565" w:rsidP="00B6285C">
      <w:pPr>
        <w:jc w:val="center"/>
        <w:rPr>
          <w:rFonts w:ascii="Verdana" w:eastAsia="Calibri" w:hAnsi="Verdana"/>
          <w:b/>
          <w:sz w:val="28"/>
          <w:szCs w:val="28"/>
        </w:rPr>
      </w:pPr>
    </w:p>
    <w:p w:rsidR="000D2565" w:rsidRDefault="000D2565" w:rsidP="00B6285C">
      <w:pPr>
        <w:jc w:val="center"/>
        <w:rPr>
          <w:rFonts w:ascii="Verdana" w:eastAsia="Calibri" w:hAnsi="Verdana"/>
          <w:b/>
          <w:sz w:val="28"/>
          <w:szCs w:val="28"/>
        </w:rPr>
      </w:pPr>
    </w:p>
    <w:p w:rsidR="000D2565" w:rsidRDefault="000D2565" w:rsidP="00B6285C">
      <w:pPr>
        <w:jc w:val="center"/>
        <w:rPr>
          <w:rFonts w:ascii="Verdana" w:eastAsia="Calibri" w:hAnsi="Verdana"/>
          <w:b/>
          <w:sz w:val="28"/>
          <w:szCs w:val="28"/>
        </w:rPr>
      </w:pPr>
    </w:p>
    <w:p w:rsidR="000D2565" w:rsidRDefault="000D2565" w:rsidP="00B6285C">
      <w:pPr>
        <w:jc w:val="center"/>
        <w:rPr>
          <w:rFonts w:ascii="Verdana" w:eastAsia="Calibri" w:hAnsi="Verdana"/>
          <w:b/>
          <w:sz w:val="28"/>
          <w:szCs w:val="28"/>
        </w:rPr>
      </w:pPr>
    </w:p>
    <w:p w:rsidR="000D2565" w:rsidRDefault="000D2565" w:rsidP="00B6285C">
      <w:pPr>
        <w:jc w:val="center"/>
        <w:rPr>
          <w:rFonts w:ascii="Verdana" w:eastAsia="Calibri" w:hAnsi="Verdana"/>
          <w:b/>
          <w:sz w:val="28"/>
          <w:szCs w:val="28"/>
        </w:rPr>
      </w:pPr>
    </w:p>
    <w:p w:rsidR="000D2565" w:rsidRDefault="000D2565" w:rsidP="00B6285C">
      <w:pPr>
        <w:jc w:val="center"/>
        <w:rPr>
          <w:rFonts w:ascii="Verdana" w:eastAsia="Calibri" w:hAnsi="Verdana"/>
          <w:b/>
          <w:sz w:val="28"/>
          <w:szCs w:val="28"/>
        </w:rPr>
      </w:pPr>
    </w:p>
    <w:p w:rsidR="000D2565" w:rsidRDefault="000D2565" w:rsidP="00B6285C">
      <w:pPr>
        <w:jc w:val="center"/>
        <w:rPr>
          <w:rFonts w:ascii="Verdana" w:eastAsia="Calibri" w:hAnsi="Verdana"/>
          <w:b/>
          <w:sz w:val="28"/>
          <w:szCs w:val="28"/>
        </w:rPr>
      </w:pPr>
    </w:p>
    <w:p w:rsidR="000D2565" w:rsidRDefault="000D2565" w:rsidP="00B6285C">
      <w:pPr>
        <w:jc w:val="center"/>
        <w:rPr>
          <w:rFonts w:ascii="Verdana" w:eastAsia="Calibri" w:hAnsi="Verdana"/>
          <w:b/>
          <w:sz w:val="28"/>
          <w:szCs w:val="28"/>
        </w:rPr>
      </w:pPr>
    </w:p>
    <w:p w:rsidR="000D2565" w:rsidRDefault="000D2565" w:rsidP="00B6285C">
      <w:pPr>
        <w:jc w:val="center"/>
        <w:rPr>
          <w:rFonts w:ascii="Verdana" w:eastAsia="Calibri" w:hAnsi="Verdana"/>
          <w:b/>
          <w:sz w:val="28"/>
          <w:szCs w:val="28"/>
        </w:rPr>
      </w:pPr>
    </w:p>
    <w:p w:rsidR="000D2565" w:rsidRDefault="000D2565" w:rsidP="00B6285C">
      <w:pPr>
        <w:jc w:val="center"/>
        <w:rPr>
          <w:rFonts w:ascii="Verdana" w:eastAsia="Calibri" w:hAnsi="Verdana"/>
          <w:b/>
          <w:sz w:val="28"/>
          <w:szCs w:val="28"/>
        </w:rPr>
      </w:pPr>
    </w:p>
    <w:p w:rsidR="005B2942" w:rsidRDefault="005B2942" w:rsidP="005B2942">
      <w:bookmarkStart w:id="0" w:name="_GoBack"/>
      <w:bookmarkEnd w:id="0"/>
      <w:r>
        <w:rPr>
          <w:b/>
          <w:bCs/>
        </w:rPr>
        <w:lastRenderedPageBreak/>
        <w:t>Pozitivizmus</w:t>
      </w:r>
      <w:r w:rsidR="009872CA">
        <w:rPr>
          <w:rStyle w:val="Znakapoznpodarou"/>
          <w:b/>
          <w:bCs/>
        </w:rPr>
        <w:footnoteReference w:id="1"/>
      </w:r>
      <w:r>
        <w:t xml:space="preserve">- směr ve vědě, který se chce zabývat pouze pozitivními a </w:t>
      </w:r>
      <w:proofErr w:type="spellStart"/>
      <w:r>
        <w:t>zkoumatelnými</w:t>
      </w:r>
      <w:proofErr w:type="spellEnd"/>
      <w:r>
        <w:t xml:space="preserve"> předměty a jevy, tj. skutečností samou a empirickými daty (danostmi a fakty).  Pozitivizmus opouští zkoumání „posledních“, metafyzických problémů, na které věda nemůže přinést odpověď. Tento směr tak omezuje platnost lidského poznání na to, co je pozitivně dáno, tj. data prokazatelná empiricky. </w:t>
      </w:r>
    </w:p>
    <w:p w:rsidR="005B2942" w:rsidRDefault="005B2942" w:rsidP="005B2942">
      <w:r>
        <w:t xml:space="preserve">Představitelem „systému pozitivní filozofie“ byl Francouz </w:t>
      </w:r>
      <w:r>
        <w:rPr>
          <w:b/>
          <w:bCs/>
        </w:rPr>
        <w:t xml:space="preserve">Auguste </w:t>
      </w:r>
      <w:proofErr w:type="spellStart"/>
      <w:r>
        <w:rPr>
          <w:b/>
          <w:bCs/>
        </w:rPr>
        <w:t>Comte</w:t>
      </w:r>
      <w:proofErr w:type="spellEnd"/>
      <w:r>
        <w:t xml:space="preserve"> (1798-1857), který chtěl svým programem nové pozitivní vědy reformovat a reorganizovat společnost.  Pozitivizmem interpretoval </w:t>
      </w:r>
      <w:proofErr w:type="spellStart"/>
      <w:r>
        <w:t>Comte</w:t>
      </w:r>
      <w:proofErr w:type="spellEnd"/>
      <w:r>
        <w:t xml:space="preserve"> jak soustavu věd a vytvořil její klasifikaci, tak i zákon tří stádií společnosti (teologické, metafyzické a pozitivní či vědecké stádium, které se vzdává touhy po absolutním, teologickém či metafyzickém poznání, nýbrž vlastním rozumem chce poznat zákony jevů</w:t>
      </w:r>
      <w:r w:rsidR="002A7670">
        <w:t>)</w:t>
      </w:r>
      <w:r>
        <w:t xml:space="preserve">. </w:t>
      </w:r>
    </w:p>
    <w:p w:rsidR="005B2942" w:rsidRDefault="005B2942" w:rsidP="005B2942">
      <w:r>
        <w:t>Hlavními představitel</w:t>
      </w:r>
      <w:r w:rsidR="00DE165E">
        <w:t>i</w:t>
      </w:r>
      <w:r>
        <w:t xml:space="preserve"> anglického pozitivizmu byli John </w:t>
      </w:r>
      <w:proofErr w:type="spellStart"/>
      <w:r>
        <w:t>Stuar</w:t>
      </w:r>
      <w:proofErr w:type="spellEnd"/>
      <w:r>
        <w:t xml:space="preserve"> </w:t>
      </w:r>
      <w:proofErr w:type="spellStart"/>
      <w:r>
        <w:t>Mill</w:t>
      </w:r>
      <w:proofErr w:type="spellEnd"/>
      <w:r>
        <w:t xml:space="preserve"> (1806-1873</w:t>
      </w:r>
      <w:r w:rsidR="00255A11">
        <w:t xml:space="preserve">) a Herbert </w:t>
      </w:r>
      <w:proofErr w:type="spellStart"/>
      <w:r w:rsidR="00255A11">
        <w:t>Spencer</w:t>
      </w:r>
      <w:proofErr w:type="spellEnd"/>
      <w:r w:rsidR="00255A11">
        <w:t xml:space="preserve"> (1820-1903). </w:t>
      </w:r>
      <w:r>
        <w:t xml:space="preserve">Anglie svojí tradicí (F. Bacon, J. Locke, D. Hume) stála velmi blízko myšlenkám pozitivizmu a byla jim proto otevřená. </w:t>
      </w:r>
    </w:p>
    <w:p w:rsidR="005B2942" w:rsidRDefault="005B2942" w:rsidP="005B2942">
      <w:pPr>
        <w:pStyle w:val="Nadpis1"/>
      </w:pPr>
      <w:r>
        <w:t xml:space="preserve">Herbert </w:t>
      </w:r>
      <w:proofErr w:type="spellStart"/>
      <w:r>
        <w:t>Spencer</w:t>
      </w:r>
      <w:proofErr w:type="spellEnd"/>
      <w:r>
        <w:t xml:space="preserve"> 1820-1903</w:t>
      </w:r>
    </w:p>
    <w:p w:rsidR="005B2942" w:rsidRDefault="005B2942" w:rsidP="005B2942">
      <w:pPr>
        <w:numPr>
          <w:ilvl w:val="0"/>
          <w:numId w:val="1"/>
        </w:numPr>
      </w:pPr>
      <w:r>
        <w:t xml:space="preserve">myšlenku vývoje (evoluce) aplikuje ve všech oblastech života a společnosti a vypracoval rozvrh světa jako vývoj „od prvotního chaosu až k vrcholům lidské kultury“. </w:t>
      </w:r>
    </w:p>
    <w:p w:rsidR="005B2942" w:rsidRDefault="005B2942" w:rsidP="005B2942"/>
    <w:p w:rsidR="005B2942" w:rsidRDefault="005B2942" w:rsidP="005B2942">
      <w:pPr>
        <w:pStyle w:val="Nadpis1"/>
      </w:pPr>
      <w:r>
        <w:t>Český pozitivizmus</w:t>
      </w:r>
    </w:p>
    <w:p w:rsidR="005B2942" w:rsidRDefault="005B2942" w:rsidP="005B2942">
      <w:r>
        <w:t xml:space="preserve">Také čeští pozitivisté byli přesvědčeni, že základní filozofické problémy jsou neřešitelné a jediným prostředkem poznání světa může být věda. Filozofie měla fakta-poznatky pouze shrnovat v systém.  </w:t>
      </w:r>
    </w:p>
    <w:p w:rsidR="005B2942" w:rsidRDefault="005B2942" w:rsidP="005B2942">
      <w:r>
        <w:t xml:space="preserve">Pozitivizmus vedl v české pedagogice k uplatňování exaktních metod v pedagogickém výzkumu, kladl obecně důraz na význam vědy a vzdělání ve společnosti a kladl rovněž důraz na odbornou vědeckou přípravu učitele. Pozitivizmus rovněž nahrazoval náboženskou morálku laickou a vedl k emancipaci školy od církve. </w:t>
      </w:r>
    </w:p>
    <w:p w:rsidR="005B2942" w:rsidRDefault="005B2942" w:rsidP="005B2942">
      <w:r>
        <w:t xml:space="preserve">Hlavním představitelem českého pozitivizmu ve filozofii byl </w:t>
      </w:r>
      <w:proofErr w:type="gramStart"/>
      <w:r>
        <w:rPr>
          <w:b/>
          <w:bCs/>
        </w:rPr>
        <w:t>T.G.</w:t>
      </w:r>
      <w:proofErr w:type="gramEnd"/>
      <w:r>
        <w:rPr>
          <w:b/>
          <w:bCs/>
        </w:rPr>
        <w:t xml:space="preserve"> Masaryk (1850-1937)</w:t>
      </w:r>
      <w:r>
        <w:t xml:space="preserve">. </w:t>
      </w:r>
    </w:p>
    <w:p w:rsidR="005B2942" w:rsidRDefault="005B2942" w:rsidP="005B2942"/>
    <w:p w:rsidR="005B2942" w:rsidRDefault="005B2942" w:rsidP="005B2942">
      <w:pPr>
        <w:jc w:val="center"/>
      </w:pPr>
      <w:r>
        <w:rPr>
          <w:b/>
          <w:bCs/>
        </w:rPr>
        <w:t>K významným zástupcům pozitivistického myšlení patřili v české pedagogice a psychologii</w:t>
      </w:r>
      <w:r>
        <w:t>:</w:t>
      </w:r>
    </w:p>
    <w:p w:rsidR="005B2942" w:rsidRDefault="005B2942" w:rsidP="005B2942">
      <w:pPr>
        <w:pStyle w:val="Nadpis2"/>
      </w:pPr>
      <w:r>
        <w:t>Jan Mrazík 1848-1923</w:t>
      </w:r>
    </w:p>
    <w:p w:rsidR="005B2942" w:rsidRDefault="005B2942" w:rsidP="005B2942">
      <w:r>
        <w:rPr>
          <w:b/>
          <w:bCs/>
        </w:rPr>
        <w:t>Josef Úlehla 1852-1933</w:t>
      </w:r>
      <w:r>
        <w:t>: pozdější ředitel menšinových českých škol ve Vídni a autor koncepce činné a volné školy (Škola dob</w:t>
      </w:r>
      <w:r w:rsidR="00DE165E">
        <w:t xml:space="preserve">rovolné kázně, volného rozvrhu </w:t>
      </w:r>
      <w:r>
        <w:t xml:space="preserve">a činného učení založeného na činné práci, pokusech a metodě samočinného učení a vypracování projektu. Učitel pouze řídil a usměrňoval žáky i celý vyučovací proces.). Úlehla spatřoval v duchu pozitivizmu základ školy ve zkušenosti. </w:t>
      </w:r>
    </w:p>
    <w:p w:rsidR="005B2942" w:rsidRDefault="005B2942" w:rsidP="005B2942">
      <w:r>
        <w:rPr>
          <w:b/>
          <w:bCs/>
        </w:rPr>
        <w:t>František Krejčí 1858-1934:</w:t>
      </w:r>
      <w:r>
        <w:t xml:space="preserve"> univerzitní profesor psychologie, který na pozitivizmu vystavěl jak filozofii, tak i etiku, psychologii a pedagogiku, i </w:t>
      </w:r>
      <w:r w:rsidR="00DE165E">
        <w:t xml:space="preserve">když východiskem pro filozofii </w:t>
      </w:r>
      <w:r>
        <w:t>i pedagogiku byla Krejčímu psychologie opírající se o biologii, o vývojový princip evoluce. Duši a duševní jevy pokládá Krejčí</w:t>
      </w:r>
      <w:r w:rsidR="00DE165E">
        <w:t xml:space="preserve"> za uvědomělé reakce organismu. </w:t>
      </w:r>
      <w:r w:rsidR="002A7670">
        <w:t>Ve filozofii se K</w:t>
      </w:r>
      <w:r>
        <w:t>rejčí opírá o smyslové zkušenosti a odmítá v</w:t>
      </w:r>
      <w:r w:rsidR="00DE165E">
        <w:t xml:space="preserve">še, co není přístupné smyslům. </w:t>
      </w:r>
      <w:r>
        <w:t xml:space="preserve">Hlavním </w:t>
      </w:r>
      <w:r w:rsidR="00DE165E">
        <w:t>p</w:t>
      </w:r>
      <w:r>
        <w:t xml:space="preserve">edagogickým spisem Krejčího byl </w:t>
      </w:r>
      <w:r>
        <w:rPr>
          <w:b/>
          <w:bCs/>
          <w:i/>
          <w:iCs/>
        </w:rPr>
        <w:t>Pozitivismus a výchova</w:t>
      </w:r>
      <w:r>
        <w:t xml:space="preserve"> (1906) – pedagogika má být vystavěna pozitivistickém základě, má být prosta filozofie, náboženství a metafyziky. Cíl výchovy má být dán pozitivní etikou nezávislou na náboženství a filozofii. </w:t>
      </w:r>
    </w:p>
    <w:p w:rsidR="005B2942" w:rsidRDefault="005B2942" w:rsidP="005B2942">
      <w:r>
        <w:rPr>
          <w:b/>
          <w:bCs/>
        </w:rPr>
        <w:t xml:space="preserve">František </w:t>
      </w:r>
      <w:proofErr w:type="spellStart"/>
      <w:r>
        <w:rPr>
          <w:b/>
          <w:bCs/>
        </w:rPr>
        <w:t>Čáda</w:t>
      </w:r>
      <w:proofErr w:type="spellEnd"/>
      <w:r>
        <w:rPr>
          <w:b/>
          <w:bCs/>
        </w:rPr>
        <w:t xml:space="preserve"> 1865-1918</w:t>
      </w:r>
      <w:r>
        <w:t>: profesor filozofie a psychologie na české pražské univerzitě, zakladatel české psychologie (výzkum dětské řeči, kreseb a výzkum žactva</w:t>
      </w:r>
      <w:r w:rsidR="00DE165E">
        <w:t xml:space="preserve"> - z</w:t>
      </w:r>
      <w:r>
        <w:t xml:space="preserve">akladatel tzv. pedopsychologie). Založil v roce 1910 Pedologický ústav hlavního města </w:t>
      </w:r>
      <w:r w:rsidR="00DE165E">
        <w:t xml:space="preserve">Prahy, později </w:t>
      </w:r>
      <w:r w:rsidR="00DE165E">
        <w:lastRenderedPageBreak/>
        <w:t xml:space="preserve">přejmenovaný na </w:t>
      </w:r>
      <w:r>
        <w:t>Ústav pro výzkum dítěte. Během svých studijních cest po Německu a Francii se osobně seznámil i s </w:t>
      </w:r>
      <w:proofErr w:type="spellStart"/>
      <w:r>
        <w:t>Binetem</w:t>
      </w:r>
      <w:proofErr w:type="spellEnd"/>
      <w:r>
        <w:t xml:space="preserve">. </w:t>
      </w:r>
    </w:p>
    <w:p w:rsidR="005B2942" w:rsidRDefault="005B2942" w:rsidP="005B2942">
      <w:r>
        <w:rPr>
          <w:b/>
          <w:bCs/>
        </w:rPr>
        <w:t xml:space="preserve">Otokar </w:t>
      </w:r>
      <w:proofErr w:type="spellStart"/>
      <w:r>
        <w:rPr>
          <w:b/>
          <w:bCs/>
        </w:rPr>
        <w:t>Kádner</w:t>
      </w:r>
      <w:proofErr w:type="spellEnd"/>
      <w:r>
        <w:rPr>
          <w:b/>
          <w:bCs/>
        </w:rPr>
        <w:t xml:space="preserve"> 1870-1936</w:t>
      </w:r>
      <w:r>
        <w:t>: pozitivní přístup využíval v jeho díle o obecné pe</w:t>
      </w:r>
      <w:r w:rsidR="00DE165E">
        <w:t xml:space="preserve">dagogice i ve zpracování dějin </w:t>
      </w:r>
      <w:r>
        <w:t xml:space="preserve">pedagogiky. </w:t>
      </w:r>
    </w:p>
    <w:p w:rsidR="005B2942" w:rsidRDefault="005B2942" w:rsidP="005B2942"/>
    <w:p w:rsidR="005B2942" w:rsidRDefault="005B2942" w:rsidP="005B2942">
      <w:pPr>
        <w:pStyle w:val="Nadpis1"/>
      </w:pPr>
      <w:r>
        <w:t xml:space="preserve">Německé idealistické pedagogické myšlení devatenáctého století – </w:t>
      </w:r>
      <w:proofErr w:type="gramStart"/>
      <w:r>
        <w:t>J.F.</w:t>
      </w:r>
      <w:proofErr w:type="gramEnd"/>
      <w:r>
        <w:t xml:space="preserve"> Herbart</w:t>
      </w:r>
    </w:p>
    <w:p w:rsidR="005B2942" w:rsidRDefault="005B2942" w:rsidP="005B2942">
      <w:r>
        <w:rPr>
          <w:b/>
          <w:bCs/>
        </w:rPr>
        <w:t>německý filozofický idealismus 19. století</w:t>
      </w:r>
      <w:r>
        <w:t xml:space="preserve">- jistá specifická reakce na osvícenství a vládu rozumu. Oproti všemocnému rozumu a také pozitivizmu fakt a daností stojí idealistická spekulace. Také v politické oblasti bylo Německo „pozadu“, zejména oproti Anglii. Úcty se těšil mnohem více osvícený absolutismus, než měšťanský liberalismus. Národní jednota a emancipace měly být záležitostí osvíceného panovníka a uskutečněni „shora“. </w:t>
      </w:r>
    </w:p>
    <w:p w:rsidR="005B2942" w:rsidRDefault="005B2942" w:rsidP="005B2942">
      <w:r>
        <w:t xml:space="preserve">Německé filozofické myšlení devatenáctého století vytvářelo </w:t>
      </w:r>
      <w:r>
        <w:rPr>
          <w:b/>
          <w:bCs/>
        </w:rPr>
        <w:t>idealistické systémy</w:t>
      </w:r>
      <w:r>
        <w:t xml:space="preserve"> světa a mělo stále charakter metafyzických spekulací. Jedním z idealistických systémů představovalo i psychologické a pedagogické dílo žáka </w:t>
      </w:r>
      <w:proofErr w:type="spellStart"/>
      <w:r>
        <w:t>Imanuela</w:t>
      </w:r>
      <w:proofErr w:type="spellEnd"/>
      <w:r>
        <w:t xml:space="preserve"> Kanta a </w:t>
      </w:r>
      <w:proofErr w:type="spellStart"/>
      <w:r>
        <w:t>Fichteho</w:t>
      </w:r>
      <w:proofErr w:type="spellEnd"/>
      <w:r>
        <w:t xml:space="preserve">, ctitele </w:t>
      </w:r>
      <w:proofErr w:type="spellStart"/>
      <w:r>
        <w:t>Pestalozziho</w:t>
      </w:r>
      <w:proofErr w:type="spellEnd"/>
      <w:r>
        <w:t xml:space="preserve"> – Johanna Friedricha Herbarta</w:t>
      </w:r>
    </w:p>
    <w:p w:rsidR="005B2942" w:rsidRDefault="005B2942" w:rsidP="005B2942"/>
    <w:p w:rsidR="005B2942" w:rsidRDefault="005B2942" w:rsidP="005B2942">
      <w:pPr>
        <w:pStyle w:val="Nadpis1"/>
      </w:pPr>
      <w:proofErr w:type="gramStart"/>
      <w:r>
        <w:t>J.F.</w:t>
      </w:r>
      <w:proofErr w:type="gramEnd"/>
      <w:r>
        <w:t xml:space="preserve"> Herbart (1776-1841)- pedagogické dílo</w:t>
      </w:r>
    </w:p>
    <w:p w:rsidR="005B2942" w:rsidRDefault="005B2942" w:rsidP="005B2942">
      <w:pPr>
        <w:rPr>
          <w:b/>
          <w:bCs/>
        </w:rPr>
      </w:pPr>
    </w:p>
    <w:p w:rsidR="005B2942" w:rsidRDefault="005B2942" w:rsidP="005B2942">
      <w:pPr>
        <w:numPr>
          <w:ilvl w:val="0"/>
          <w:numId w:val="1"/>
        </w:numPr>
      </w:pPr>
      <w:r>
        <w:t xml:space="preserve">narozen v roce 1776 v severoněmeckém </w:t>
      </w:r>
      <w:proofErr w:type="spellStart"/>
      <w:r>
        <w:t>Oldenburku</w:t>
      </w:r>
      <w:proofErr w:type="spellEnd"/>
      <w:r>
        <w:rPr>
          <w:b/>
          <w:bCs/>
        </w:rPr>
        <w:t xml:space="preserve"> </w:t>
      </w:r>
      <w:r>
        <w:t xml:space="preserve">v rodině justičního rady. Herbart patřil z politického hlediska k umírněným zastáncům společenských reforem. Nesympatizoval s Velkou francouzskou revolucí a jejím řešením společenské situace. Více tíhnul ke konzervativnějším řešením politické situace v Německu. </w:t>
      </w:r>
    </w:p>
    <w:p w:rsidR="005B2942" w:rsidRDefault="005B2942" w:rsidP="005B2942">
      <w:pPr>
        <w:numPr>
          <w:ilvl w:val="0"/>
          <w:numId w:val="1"/>
        </w:numPr>
      </w:pPr>
      <w:r>
        <w:t>Herbart patří k těm představitelům německé filozofie, kteří nesympatizovali s romantismem či voluntarismem jako specificky německou reakcí na osvícenství. Herbart zůstává „věrný“ rozumu ve filozofické i pedagogické oblasti. Přes počáteční nadchnutí se z </w:t>
      </w:r>
      <w:proofErr w:type="spellStart"/>
      <w:r>
        <w:t>Fichteho</w:t>
      </w:r>
      <w:proofErr w:type="spellEnd"/>
      <w:r>
        <w:t xml:space="preserve"> filozofie vůle op</w:t>
      </w:r>
      <w:r w:rsidR="00DE165E">
        <w:t>ouští Herbart tento směr a</w:t>
      </w:r>
      <w:r>
        <w:t xml:space="preserve"> přejímá profesuru filozofie po Kantovi v pruském Královci (dnešním Kaliningradu). Později vyučoval v Gotinkách (</w:t>
      </w:r>
      <w:r w:rsidRPr="00DE165E">
        <w:t xml:space="preserve">Göttingen). </w:t>
      </w:r>
    </w:p>
    <w:p w:rsidR="005B2942" w:rsidRDefault="005B2942" w:rsidP="005B2942">
      <w:pPr>
        <w:numPr>
          <w:ilvl w:val="0"/>
          <w:numId w:val="1"/>
        </w:numPr>
      </w:pPr>
      <w:r>
        <w:t xml:space="preserve">V pedagogické oblasti zůstává výrazně ovlivněn </w:t>
      </w:r>
      <w:proofErr w:type="spellStart"/>
      <w:r>
        <w:t>Pestalozzim</w:t>
      </w:r>
      <w:proofErr w:type="spellEnd"/>
      <w:r>
        <w:t xml:space="preserve">, s nímž se setkal během jeho pobytu domácího učitele ve švýcarském Bernu v letech 1797-1799.  </w:t>
      </w:r>
    </w:p>
    <w:p w:rsidR="005B2942" w:rsidRDefault="005B2942" w:rsidP="005B2942">
      <w:pPr>
        <w:numPr>
          <w:ilvl w:val="0"/>
          <w:numId w:val="1"/>
        </w:numPr>
      </w:pPr>
      <w:r>
        <w:t xml:space="preserve">Herbart řeší ve svém pedagogickém systému několik základních otázek: Herbart zkoumá cestu k objektivnímu poznání. Skutečné poznání věcí se mu stává zavazující i v oblasti jednání- vůle. Svobodné jednání je pro Herbarta takové, které následuje pravé poznání. Takové jednání je i mravně dobré či správné. Vůle není zcela svobodná, ale je omezena poznáním. Tím vyvstává význam správného poznání a řízení se jím. Vůle má být v harmonii s poznatky. Toho se však nedosáhne automaticky, nýbrž výchovou. Je nutno, aby si vůle „zvykla“ na to, aby se pravým poznáním řídila. Zde je prostor pro výchovu a vyučování.  </w:t>
      </w:r>
    </w:p>
    <w:p w:rsidR="005B2942" w:rsidRDefault="005B2942" w:rsidP="005B2942">
      <w:pPr>
        <w:numPr>
          <w:ilvl w:val="0"/>
          <w:numId w:val="1"/>
        </w:numPr>
      </w:pPr>
      <w:r>
        <w:t xml:space="preserve">Cílem Herbarta ve výchově a ve vyučování je tedy ctnost, morálka. Dítě se má chovat dle poznaných skutečností a k tomu má dopomáhat či vést jak výchova, tak i školní vyučování, které je u Herbarta nazýváno jako tzv. </w:t>
      </w:r>
      <w:r>
        <w:rPr>
          <w:b/>
          <w:bCs/>
        </w:rPr>
        <w:t>výchovné vyučování</w:t>
      </w:r>
      <w:r>
        <w:t xml:space="preserve">. </w:t>
      </w:r>
    </w:p>
    <w:p w:rsidR="005B2942" w:rsidRDefault="005B2942" w:rsidP="005B2942">
      <w:pPr>
        <w:numPr>
          <w:ilvl w:val="0"/>
          <w:numId w:val="1"/>
        </w:numPr>
      </w:pPr>
      <w:r>
        <w:t xml:space="preserve">Ve svých spisech Herbart vytváří ucelený systém pedagogiky jako vědy.  Pedagogika je praktickou filozofií, která uvádí vůli v soulad s poznatky a zaručuje tak správné jednání. Pedagogiku Herbart dělí na principy základní neboli </w:t>
      </w:r>
      <w:r>
        <w:rPr>
          <w:b/>
          <w:bCs/>
        </w:rPr>
        <w:t>vědy pomocné</w:t>
      </w:r>
      <w:r>
        <w:t xml:space="preserve">: </w:t>
      </w:r>
      <w:r>
        <w:rPr>
          <w:b/>
          <w:bCs/>
        </w:rPr>
        <w:t>etika</w:t>
      </w:r>
      <w:r>
        <w:t xml:space="preserve"> </w:t>
      </w:r>
      <w:r>
        <w:rPr>
          <w:b/>
          <w:bCs/>
        </w:rPr>
        <w:t>dávající cíl výchovy a psychologie poskytující prostředky výchovy</w:t>
      </w:r>
      <w:r>
        <w:t xml:space="preserve"> (psychologie představ pracující na základě „matematických“ zákonů). Druhou část </w:t>
      </w:r>
      <w:proofErr w:type="spellStart"/>
      <w:r>
        <w:t>Herbartova</w:t>
      </w:r>
      <w:proofErr w:type="spellEnd"/>
      <w:r>
        <w:t xml:space="preserve"> systému pedagogiky představuje </w:t>
      </w:r>
      <w:r>
        <w:rPr>
          <w:b/>
          <w:bCs/>
        </w:rPr>
        <w:t>věda o výchově</w:t>
      </w:r>
      <w:r>
        <w:t xml:space="preserve"> ve vlastním slova smyslu. Tato věda se dělí na </w:t>
      </w:r>
      <w:r>
        <w:rPr>
          <w:b/>
          <w:bCs/>
        </w:rPr>
        <w:t>pedagogiku teoretickou a pedagogiku praktickou</w:t>
      </w:r>
      <w:r>
        <w:t xml:space="preserve">. Teoretická pedagogika byla založena na psychologii a pojednávala o možnostech výchovy, o prostředcích </w:t>
      </w:r>
      <w:r>
        <w:lastRenderedPageBreak/>
        <w:t xml:space="preserve">výchovy a o pedagogických institucích. Praktická pedagogika řešila otázky poznání či vědění, dále vyučování a v neposlední řadě mravní výchovy. </w:t>
      </w:r>
    </w:p>
    <w:p w:rsidR="005B2942" w:rsidRDefault="005B2942" w:rsidP="005B2942">
      <w:pPr>
        <w:ind w:left="360"/>
      </w:pPr>
    </w:p>
    <w:p w:rsidR="005B2942" w:rsidRDefault="005B2942" w:rsidP="005B2942">
      <w:pPr>
        <w:numPr>
          <w:ilvl w:val="0"/>
          <w:numId w:val="1"/>
        </w:numPr>
      </w:pPr>
      <w:proofErr w:type="spellStart"/>
      <w:r>
        <w:rPr>
          <w:b/>
          <w:bCs/>
        </w:rPr>
        <w:t>Herbartova</w:t>
      </w:r>
      <w:proofErr w:type="spellEnd"/>
      <w:r>
        <w:rPr>
          <w:b/>
          <w:bCs/>
        </w:rPr>
        <w:t xml:space="preserve"> koncepce vyučování</w:t>
      </w:r>
      <w:r>
        <w:t xml:space="preserve">: </w:t>
      </w:r>
    </w:p>
    <w:p w:rsidR="005B2942" w:rsidRDefault="005B2942" w:rsidP="005B2942">
      <w:pPr>
        <w:pStyle w:val="Zkladntextodsazen"/>
        <w:spacing w:line="240" w:lineRule="auto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Herbart vychází z ideje vyučování jako </w:t>
      </w:r>
      <w:r>
        <w:rPr>
          <w:b/>
          <w:bCs/>
          <w:i w:val="0"/>
          <w:iCs w:val="0"/>
          <w:sz w:val="24"/>
        </w:rPr>
        <w:t>procesu</w:t>
      </w:r>
      <w:r>
        <w:rPr>
          <w:i w:val="0"/>
          <w:iCs w:val="0"/>
          <w:sz w:val="24"/>
        </w:rPr>
        <w:t xml:space="preserve">, který se rozvíjí v určitém zákonitém postupu zakládajícím se na jeho psychologii představ. Herbart se opírá o </w:t>
      </w:r>
      <w:r>
        <w:rPr>
          <w:b/>
          <w:bCs/>
          <w:i w:val="0"/>
          <w:iCs w:val="0"/>
          <w:sz w:val="24"/>
        </w:rPr>
        <w:t>asociační psychologii</w:t>
      </w:r>
      <w:r>
        <w:rPr>
          <w:i w:val="0"/>
          <w:iCs w:val="0"/>
          <w:sz w:val="24"/>
        </w:rPr>
        <w:t xml:space="preserve">, podle níž jsou základním prvkem psychiky představy a zákonitosti jejich získávání a utváření. </w:t>
      </w:r>
      <w:r>
        <w:rPr>
          <w:b/>
          <w:bCs/>
          <w:i w:val="0"/>
          <w:iCs w:val="0"/>
          <w:sz w:val="24"/>
        </w:rPr>
        <w:t>Úkolem vyučování je podle jeho názoru obohacování, rozmnožování a třídění představ žáků. Tím se rozvíjí nejenom vědění, ale i vůle žáků.</w:t>
      </w:r>
      <w:r>
        <w:rPr>
          <w:i w:val="0"/>
          <w:iCs w:val="0"/>
          <w:sz w:val="24"/>
        </w:rPr>
        <w:t xml:space="preserve"> Vyučování tak podporuje i mnohostranný zájem žáků. Děje se to prostřednictvím slova a názornosti.</w:t>
      </w:r>
    </w:p>
    <w:p w:rsidR="005B2942" w:rsidRDefault="005B2942" w:rsidP="005B2942">
      <w:pPr>
        <w:ind w:left="703"/>
        <w:jc w:val="both"/>
      </w:pPr>
      <w:r>
        <w:t>Přirozená cesta poznávání ve vyučování se dá podle Herba</w:t>
      </w:r>
      <w:r w:rsidR="002A7670">
        <w:t xml:space="preserve">rta vyjádřit ustáleným logicky </w:t>
      </w:r>
      <w:r>
        <w:t>členěným postupem, tzv. formálními stupni poznání. V souladu s asocianistickou teorií představ stanovil čtyři formální stupně poznání. Označovaly proces, jímž je třeba vést žáka při zpracování učební látky. Staly se známými pod názvy</w:t>
      </w:r>
      <w:r>
        <w:rPr>
          <w:b/>
          <w:bCs/>
        </w:rPr>
        <w:t>: jasnost, asociace, systém, metoda</w:t>
      </w:r>
      <w:r>
        <w:t>.</w:t>
      </w:r>
    </w:p>
    <w:p w:rsidR="005B2942" w:rsidRDefault="005B2942" w:rsidP="005B2942">
      <w:pPr>
        <w:ind w:left="703"/>
        <w:jc w:val="both"/>
      </w:pPr>
      <w:r>
        <w:rPr>
          <w:b/>
          <w:bCs/>
        </w:rPr>
        <w:t>Jasnost</w:t>
      </w:r>
      <w:r>
        <w:t xml:space="preserve"> jako první stupeň znamená, že se žák zahloubá do látky, soustřeďuje pozornost, pozoruje podrobnosti, rozkládá předmět na jeho části. Učitel předvádí látku, používá názornosti, vysvětluje. Pak se přechází k druhému stupni.</w:t>
      </w:r>
    </w:p>
    <w:p w:rsidR="005B2942" w:rsidRDefault="005B2942" w:rsidP="005B2942">
      <w:pPr>
        <w:ind w:left="703"/>
        <w:jc w:val="both"/>
      </w:pPr>
      <w:r>
        <w:t xml:space="preserve">To je </w:t>
      </w:r>
      <w:r>
        <w:rPr>
          <w:b/>
          <w:bCs/>
        </w:rPr>
        <w:t>asociace.</w:t>
      </w:r>
      <w:r>
        <w:t xml:space="preserve"> Nové představy se sdružují s představami již dříve získanými. Učitel ve vědomí žáků vyvolává staré představy a spojuje je s novými.</w:t>
      </w:r>
    </w:p>
    <w:p w:rsidR="005B2942" w:rsidRDefault="005B2942" w:rsidP="005B2942">
      <w:pPr>
        <w:ind w:left="703"/>
        <w:jc w:val="both"/>
      </w:pPr>
      <w:r>
        <w:t xml:space="preserve">V dalším stadiu jde již o promýšlení. Proto </w:t>
      </w:r>
      <w:r>
        <w:rPr>
          <w:b/>
          <w:bCs/>
        </w:rPr>
        <w:t>třetí stupeň, systematizace</w:t>
      </w:r>
      <w:r>
        <w:t xml:space="preserve">, znamená, že se představy uvádějí ve vztah, vybírají se souvislosti, zobecňují se, formulují se </w:t>
      </w:r>
      <w:proofErr w:type="gramStart"/>
      <w:r>
        <w:t>pravidla,  závěry</w:t>
      </w:r>
      <w:proofErr w:type="gramEnd"/>
      <w:r>
        <w:t xml:space="preserve">. </w:t>
      </w:r>
    </w:p>
    <w:p w:rsidR="005B2942" w:rsidRDefault="005B2942" w:rsidP="005B2942">
      <w:pPr>
        <w:ind w:left="703"/>
        <w:jc w:val="both"/>
      </w:pPr>
      <w:r>
        <w:t xml:space="preserve">Konečně čtvrtý stupeň je tzv. </w:t>
      </w:r>
      <w:r>
        <w:rPr>
          <w:b/>
          <w:bCs/>
        </w:rPr>
        <w:t>metoda</w:t>
      </w:r>
      <w:r>
        <w:t>. Jde vlastně o aplikaci. Procvičují se nové poznatky, řeší se praktické úkoly, provádějí se samostatná cvičení.</w:t>
      </w:r>
    </w:p>
    <w:p w:rsidR="005B2942" w:rsidRDefault="005B2942" w:rsidP="005B2942">
      <w:pPr>
        <w:pStyle w:val="Zkladntextodsazen"/>
        <w:spacing w:line="240" w:lineRule="auto"/>
        <w:jc w:val="both"/>
        <w:rPr>
          <w:b/>
          <w:bCs/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Svými formálními stupni chtěl Herbart vyjádřit, že učitelova a žákova činnost není pouhým souhrnem ničím nespojených, libovolných kroků a situací, nýbrž předpokládá vnitřní souvislosti, jimiž jsou metodické postupy sjednoceny a zdůvodněny. Zároveň Herbart upozornil na vzájemný vztah </w:t>
      </w:r>
      <w:r>
        <w:rPr>
          <w:b/>
          <w:bCs/>
          <w:i w:val="0"/>
          <w:iCs w:val="0"/>
          <w:sz w:val="24"/>
        </w:rPr>
        <w:t>obsahu, vyučujícího učitele a učícího se žáka</w:t>
      </w:r>
      <w:r>
        <w:rPr>
          <w:i w:val="0"/>
          <w:iCs w:val="0"/>
          <w:sz w:val="24"/>
        </w:rPr>
        <w:t>. Tento poznatek trvale vstoupil do didaktického myšlení jako „</w:t>
      </w:r>
      <w:proofErr w:type="spellStart"/>
      <w:r>
        <w:rPr>
          <w:i w:val="0"/>
          <w:iCs w:val="0"/>
          <w:sz w:val="24"/>
        </w:rPr>
        <w:t>Herbartův</w:t>
      </w:r>
      <w:proofErr w:type="spellEnd"/>
      <w:r>
        <w:rPr>
          <w:i w:val="0"/>
          <w:iCs w:val="0"/>
          <w:sz w:val="24"/>
        </w:rPr>
        <w:t xml:space="preserve">“ či </w:t>
      </w:r>
      <w:r>
        <w:rPr>
          <w:b/>
          <w:bCs/>
          <w:i w:val="0"/>
          <w:iCs w:val="0"/>
          <w:sz w:val="24"/>
        </w:rPr>
        <w:t>„didaktický trojúhelník“.</w:t>
      </w:r>
    </w:p>
    <w:p w:rsidR="005B2942" w:rsidRDefault="005B2942" w:rsidP="005B2942">
      <w:pPr>
        <w:pStyle w:val="Zkladntextodsazen2"/>
      </w:pPr>
      <w:r>
        <w:t xml:space="preserve">Ovšem v praxi, zvláště poté, co se </w:t>
      </w:r>
      <w:proofErr w:type="spellStart"/>
      <w:r>
        <w:t>Herbartova</w:t>
      </w:r>
      <w:proofErr w:type="spellEnd"/>
      <w:r>
        <w:t xml:space="preserve"> teorie rozšířila v obecném školství, docházelo k mechanické a stereotypní aplikaci tohoto postupu na každou vyučovací hodinu. Jejich struktura se stávala neměnnou bez ohledu na konkrétní situaci. To vyvolávalo monotónnost školní práce. </w:t>
      </w:r>
    </w:p>
    <w:p w:rsidR="005B2942" w:rsidRDefault="005B2942" w:rsidP="005B2942">
      <w:pPr>
        <w:numPr>
          <w:ilvl w:val="0"/>
          <w:numId w:val="1"/>
        </w:numPr>
      </w:pPr>
      <w:r>
        <w:t xml:space="preserve">představitelé </w:t>
      </w:r>
      <w:proofErr w:type="spellStart"/>
      <w:r>
        <w:t>Herbartova</w:t>
      </w:r>
      <w:proofErr w:type="spellEnd"/>
      <w:r>
        <w:t xml:space="preserve"> myšlení na konci devatenáctého století </w:t>
      </w:r>
      <w:proofErr w:type="spellStart"/>
      <w:r>
        <w:t>Herbartovy</w:t>
      </w:r>
      <w:proofErr w:type="spellEnd"/>
      <w:r>
        <w:t xml:space="preserve"> myšlenky zjednodušili do několika pouček, které určovaly výrazným způsobem pedagogickou výuku na učitelských ústavech a současně znemožňovaly vývoj pedagogické teorie. Tito tzv. </w:t>
      </w:r>
      <w:proofErr w:type="spellStart"/>
      <w:r>
        <w:t>herbartovci</w:t>
      </w:r>
      <w:proofErr w:type="spellEnd"/>
      <w:r>
        <w:t xml:space="preserve"> se na počátku dvacátého století stali terčem kritiky ze strany představitelů reformně pedagogického hnutí. </w:t>
      </w:r>
    </w:p>
    <w:p w:rsidR="005B2942" w:rsidRDefault="005B2942" w:rsidP="005B2942"/>
    <w:p w:rsidR="005B2942" w:rsidRDefault="005B2942" w:rsidP="005B2942">
      <w:pPr>
        <w:jc w:val="center"/>
      </w:pPr>
      <w:proofErr w:type="spellStart"/>
      <w:r>
        <w:rPr>
          <w:b/>
          <w:bCs/>
        </w:rPr>
        <w:t>Herbartova</w:t>
      </w:r>
      <w:proofErr w:type="spellEnd"/>
      <w:r>
        <w:rPr>
          <w:b/>
          <w:bCs/>
        </w:rPr>
        <w:t xml:space="preserve"> pedagogika a české pedagogické myšlení</w:t>
      </w:r>
      <w:r>
        <w:t>:</w:t>
      </w:r>
    </w:p>
    <w:p w:rsidR="005B2942" w:rsidRDefault="005B2942" w:rsidP="005B2942">
      <w:pPr>
        <w:numPr>
          <w:ilvl w:val="0"/>
          <w:numId w:val="1"/>
        </w:numPr>
      </w:pPr>
      <w:r>
        <w:t>hlavním představitelem české pedagogiky, který navazoval j</w:t>
      </w:r>
      <w:r w:rsidR="00DE165E">
        <w:t xml:space="preserve">ak na duch pozitivizmu, tak i </w:t>
      </w:r>
      <w:r>
        <w:t xml:space="preserve">na systém </w:t>
      </w:r>
      <w:proofErr w:type="spellStart"/>
      <w:r>
        <w:t>Herbartův</w:t>
      </w:r>
      <w:proofErr w:type="spellEnd"/>
      <w:r>
        <w:t xml:space="preserve"> byl </w:t>
      </w:r>
      <w:r>
        <w:rPr>
          <w:b/>
          <w:bCs/>
        </w:rPr>
        <w:t xml:space="preserve">Gustav Adolf </w:t>
      </w:r>
      <w:proofErr w:type="spellStart"/>
      <w:r>
        <w:rPr>
          <w:b/>
          <w:bCs/>
        </w:rPr>
        <w:t>Lindner</w:t>
      </w:r>
      <w:proofErr w:type="spellEnd"/>
      <w:r>
        <w:rPr>
          <w:b/>
          <w:bCs/>
        </w:rPr>
        <w:t xml:space="preserve"> 1828-1887</w:t>
      </w:r>
      <w:r>
        <w:t xml:space="preserve">, jehož pedagogické dílo výrazně ovlivnilo českou pedagogiku poslední třetiny devatenáctého století. </w:t>
      </w:r>
      <w:proofErr w:type="spellStart"/>
      <w:r>
        <w:t>Lindner</w:t>
      </w:r>
      <w:proofErr w:type="spellEnd"/>
      <w:r>
        <w:t xml:space="preserve"> byl ředitelem učitelského ústavu v Kutné Hoře a současně prvním ředitelem českého Pedagogického semináře na české univerzitě v Praze, po rozdělení Karlo-Ferdinandovy univerzity na českou a německou v roce 1882. </w:t>
      </w:r>
    </w:p>
    <w:p w:rsidR="005B2942" w:rsidRDefault="005B2942" w:rsidP="005B2942">
      <w:pPr>
        <w:numPr>
          <w:ilvl w:val="0"/>
          <w:numId w:val="1"/>
        </w:numPr>
      </w:pPr>
      <w:r>
        <w:lastRenderedPageBreak/>
        <w:t xml:space="preserve">Další představitelé- </w:t>
      </w:r>
      <w:proofErr w:type="spellStart"/>
      <w:r>
        <w:t>herbartovci</w:t>
      </w:r>
      <w:proofErr w:type="spellEnd"/>
      <w:r>
        <w:t xml:space="preserve">: Josef </w:t>
      </w:r>
      <w:proofErr w:type="spellStart"/>
      <w:r>
        <w:t>Dastich</w:t>
      </w:r>
      <w:proofErr w:type="spellEnd"/>
      <w:r>
        <w:t xml:space="preserve"> (1835-1870), Josef Durdík (1837-1902), Petr Durdík (1845-1909), František Čupr (1821-1882). </w:t>
      </w:r>
    </w:p>
    <w:p w:rsidR="005B2942" w:rsidRDefault="005B2942" w:rsidP="005B2942">
      <w:pPr>
        <w:ind w:left="360"/>
      </w:pPr>
    </w:p>
    <w:p w:rsidR="00775879" w:rsidRDefault="00775879"/>
    <w:sectPr w:rsidR="00775879" w:rsidSect="0077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CB" w:rsidRDefault="00F570CB" w:rsidP="009872CA">
      <w:r>
        <w:separator/>
      </w:r>
    </w:p>
  </w:endnote>
  <w:endnote w:type="continuationSeparator" w:id="0">
    <w:p w:rsidR="00F570CB" w:rsidRDefault="00F570CB" w:rsidP="0098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CB" w:rsidRDefault="00F570CB" w:rsidP="009872CA">
      <w:r>
        <w:separator/>
      </w:r>
    </w:p>
  </w:footnote>
  <w:footnote w:type="continuationSeparator" w:id="0">
    <w:p w:rsidR="00F570CB" w:rsidRDefault="00F570CB" w:rsidP="009872CA">
      <w:r>
        <w:continuationSeparator/>
      </w:r>
    </w:p>
  </w:footnote>
  <w:footnote w:id="1">
    <w:p w:rsidR="009872CA" w:rsidRDefault="009872CA">
      <w:pPr>
        <w:pStyle w:val="Textpoznpodarou"/>
      </w:pPr>
      <w:r>
        <w:rPr>
          <w:rStyle w:val="Znakapoznpodarou"/>
        </w:rPr>
        <w:footnoteRef/>
      </w:r>
      <w:r>
        <w:t xml:space="preserve"> Text se opírá o publikaci KASPER, T.; KASPEROVÁ, D. Dějiny pedagogiky. </w:t>
      </w:r>
      <w:proofErr w:type="gramStart"/>
      <w:r>
        <w:t xml:space="preserve">Praha : </w:t>
      </w:r>
      <w:proofErr w:type="spellStart"/>
      <w:r>
        <w:t>Grada</w:t>
      </w:r>
      <w:proofErr w:type="spellEnd"/>
      <w:proofErr w:type="gramEnd"/>
      <w:r>
        <w:t>, 2008.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6623"/>
    <w:multiLevelType w:val="hybridMultilevel"/>
    <w:tmpl w:val="B62A04E0"/>
    <w:lvl w:ilvl="0" w:tplc="4F92F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942"/>
    <w:rsid w:val="00097A6E"/>
    <w:rsid w:val="000D2565"/>
    <w:rsid w:val="00255A11"/>
    <w:rsid w:val="002A7670"/>
    <w:rsid w:val="005B2942"/>
    <w:rsid w:val="00767AB6"/>
    <w:rsid w:val="00775879"/>
    <w:rsid w:val="009872CA"/>
    <w:rsid w:val="009C09BA"/>
    <w:rsid w:val="00B6285C"/>
    <w:rsid w:val="00DE165E"/>
    <w:rsid w:val="00F5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F749F-51ED-46DC-93A1-41FBD8AD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94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2942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628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9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B29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B2942"/>
    <w:pPr>
      <w:spacing w:line="360" w:lineRule="auto"/>
      <w:ind w:left="703"/>
    </w:pPr>
    <w:rPr>
      <w:i/>
      <w:i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B2942"/>
    <w:rPr>
      <w:rFonts w:ascii="Times New Roman" w:eastAsia="Times New Roman" w:hAnsi="Times New Roman" w:cs="Times New Roman"/>
      <w:i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B2942"/>
    <w:pPr>
      <w:ind w:left="703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B29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628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28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62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85C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72C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72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87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B4FC-E815-452A-B0B5-F739DCDC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1528</Words>
  <Characters>9022</Characters>
  <Application>Microsoft Office Word</Application>
  <DocSecurity>0</DocSecurity>
  <Lines>75</Lines>
  <Paragraphs>21</Paragraphs>
  <ScaleCrop>false</ScaleCrop>
  <Company>HP</Company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Kasper</dc:creator>
  <cp:keywords/>
  <dc:description/>
  <cp:lastModifiedBy>Dana Kasperová</cp:lastModifiedBy>
  <cp:revision>8</cp:revision>
  <dcterms:created xsi:type="dcterms:W3CDTF">2012-02-21T21:38:00Z</dcterms:created>
  <dcterms:modified xsi:type="dcterms:W3CDTF">2018-06-22T11:05:00Z</dcterms:modified>
</cp:coreProperties>
</file>