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9D66" w14:textId="77777777" w:rsidR="00581302" w:rsidRDefault="00581302" w:rsidP="0073255E">
      <w:bookmarkStart w:id="0" w:name="_GoBack"/>
      <w:bookmarkEnd w:id="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Název: Kyberšikana a další formy kybernetické agrese</w:t>
            </w:r>
          </w:p>
          <w:p w14:paraId="14430796" w14:textId="77777777" w:rsidR="00581302" w:rsidRPr="00FE09E3" w:rsidRDefault="00581302" w:rsidP="0073255E">
            <w:pPr>
              <w:jc w:val="center"/>
              <w:rPr>
                <w:i/>
                <w:sz w:val="24"/>
                <w:szCs w:val="24"/>
              </w:rPr>
            </w:pPr>
            <w:r w:rsidRPr="00FE09E3">
              <w:rPr>
                <w:i/>
                <w:sz w:val="24"/>
                <w:szCs w:val="24"/>
              </w:rPr>
              <w:t>Autor: Kamil Kopecký, René Szotkowski (Centrum PRVoK PdF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r w:rsidRPr="00FE09E3">
              <w:rPr>
                <w:sz w:val="24"/>
                <w:szCs w:val="24"/>
              </w:rPr>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Ačkoli je kyberšikana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r w:rsidRPr="00FE09E3">
              <w:rPr>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1" w:name="_Toc441616457"/>
            <w:bookmarkStart w:id="2" w:name="_Toc442786333"/>
            <w:bookmarkStart w:id="3" w:name="_Toc479083767"/>
            <w:r w:rsidRPr="00FE09E3">
              <w:rPr>
                <w:b/>
                <w:szCs w:val="24"/>
              </w:rPr>
              <w:t>Rozdíly mezi tradiční šikanou a kyberšikanou</w:t>
            </w:r>
            <w:bookmarkEnd w:id="1"/>
            <w:bookmarkEnd w:id="2"/>
            <w:bookmarkEnd w:id="3"/>
          </w:p>
          <w:p w14:paraId="163DC550" w14:textId="77777777" w:rsidR="00581302" w:rsidRPr="00FE09E3" w:rsidRDefault="00581302" w:rsidP="0073255E">
            <w:pPr>
              <w:jc w:val="both"/>
              <w:rPr>
                <w:sz w:val="24"/>
                <w:szCs w:val="24"/>
              </w:rPr>
            </w:pPr>
            <w:r w:rsidRPr="00FE09E3">
              <w:rPr>
                <w:sz w:val="24"/>
                <w:szCs w:val="24"/>
              </w:rPr>
              <w:t>Kyberšikana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Dosah kyberšikany a velikost publika</w:t>
            </w:r>
          </w:p>
          <w:p w14:paraId="2C20FAAA" w14:textId="77777777" w:rsidR="00581302" w:rsidRPr="00FE09E3" w:rsidRDefault="00581302" w:rsidP="0073255E">
            <w:pPr>
              <w:jc w:val="both"/>
              <w:rPr>
                <w:sz w:val="24"/>
                <w:szCs w:val="24"/>
              </w:rPr>
            </w:pPr>
            <w:r w:rsidRPr="00D24275">
              <w:rPr>
                <w:sz w:val="24"/>
                <w:szCs w:val="24"/>
              </w:rPr>
              <w:t>Oproti formám klasické šikany, která probíhá „tváří v tvář“, má kyberšikana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kyberšikany mohou zapojit a stát se agresory, případě se zapojit do rozšiřování kyberšikany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kyberšikany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kyberšikany může být anonymní, skrytý za přezdívkou nebo jiným neurčitým identifikátorem, oběť tak často není schopna agresora identifikovat. Ačkoli je identifikace anonymního pachatele kyberšikany poměrně složitá, výzkum projektu Minimalizace šikany prokázal, že v 78 % případů kyberšikany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kyberšikana probíhá nejprve v uzavřené skupině v prostředí sociální sítě – zde není nutné identitu maskovat, pachatelé vystupují pod skutečnými jmény a příjmeními. V této fázi oběť o počáteční kyberšikaně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disinhibičním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který ke kyberšikaně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r w:rsidRPr="00FE09E3">
              <w:rPr>
                <w:sz w:val="24"/>
                <w:szCs w:val="24"/>
              </w:rPr>
              <w:t xml:space="preserve">Kyberšikana jako taková může probíhat neustále Samotný útok na oběť lze provést kdykoli – jak v době školní výuky, tak o přestávkách, mimo školní vyučování, o víkendu, v libovolnou denní či noční dobu. Limitována není ani samotná příprava kyberšikany, pachatel má k dispozici libovolné množství času a může si svůj útok promyslet (např. vytvořit z fotografie dehonestující,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kyberšikana probíhá zejména v prostředí internetu, útok se šíří daleko rychleji než u běžné šikany. Během několika minut může být dehonestující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dehonestujícího obsahu </w:t>
            </w:r>
            <w:r w:rsidRPr="00FE09E3">
              <w:rPr>
                <w:sz w:val="24"/>
                <w:szCs w:val="24"/>
              </w:rPr>
              <w:br/>
              <w:t>a okamžikem, kdy se o kyberšikaně dozví samotná oběť. Žáci např. o svém spolužákovi založí veřejnou diskusní skupinu, ve které vyhlédnutou oběť dehonestují, urážejí, pomlouvají, sdílejí její fotografie či videa apod. Oběť se o diskusní skupině dozví s časovým odstupem – např. po několika dnech i týdnech. V té době se již do kyberšikany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kyberšikany z posledních let, pachateli kyberšikany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Pachatel, který chce kyberšikanu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Rozdílné způsoby řešení kyberšikany a šikany</w:t>
            </w:r>
          </w:p>
          <w:p w14:paraId="12CDEACD" w14:textId="77777777" w:rsidR="00581302" w:rsidRPr="00FE09E3" w:rsidRDefault="00581302" w:rsidP="0073255E">
            <w:pPr>
              <w:jc w:val="both"/>
              <w:rPr>
                <w:sz w:val="24"/>
                <w:szCs w:val="24"/>
              </w:rPr>
            </w:pPr>
            <w:r w:rsidRPr="00FE09E3">
              <w:rPr>
                <w:sz w:val="24"/>
                <w:szCs w:val="24"/>
              </w:rPr>
              <w:t xml:space="preserve">Při řešení kyberšikany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U kyberšikany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kyberšikaně dochází, zajistit odstranění dehonestujících materiálů z internetu a zastavit tak další šíření kyberšikany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kyberšikany často chybí svědci, publikum je značně anonymní a nelze identifikovat, kdo má o kyberšikaně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kyberšikany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rozpoznat, kdy jde o kyberšikanu a kdy ne</w:t>
            </w:r>
            <w:r w:rsidRPr="00FE09E3">
              <w:rPr>
                <w:szCs w:val="24"/>
              </w:rPr>
              <w:t xml:space="preserve"> (žáci často nerozpoznají hranice kyberšikany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Základní formy kyberšikany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r w:rsidRPr="00FE09E3">
              <w:rPr>
                <w:sz w:val="24"/>
                <w:szCs w:val="24"/>
              </w:rPr>
              <w:t xml:space="preserve">Kyberšikana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Mezi základní formy kyberšikany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1. Kyberšikana přímá</w:t>
            </w:r>
          </w:p>
          <w:p w14:paraId="167F04F2" w14:textId="77777777" w:rsidR="00581302" w:rsidRPr="00FE09E3" w:rsidRDefault="00581302" w:rsidP="0073255E">
            <w:pPr>
              <w:jc w:val="both"/>
              <w:rPr>
                <w:sz w:val="24"/>
                <w:szCs w:val="24"/>
              </w:rPr>
            </w:pPr>
            <w:r w:rsidRPr="00FE09E3">
              <w:rPr>
                <w:sz w:val="24"/>
                <w:szCs w:val="24"/>
              </w:rPr>
              <w:t xml:space="preserve">U přímé kyberšikany agresor útočí na oběť přímo, bezprostředně, začne např. dehonestovat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2. Kyberšikana nepřímá (kyberšikana v zastoupení, tzv. cyberbullying-by-proxy)</w:t>
            </w:r>
          </w:p>
          <w:p w14:paraId="05E61B0F" w14:textId="77777777" w:rsidR="00581302" w:rsidRPr="00FE09E3" w:rsidRDefault="00581302" w:rsidP="0073255E">
            <w:pPr>
              <w:jc w:val="both"/>
              <w:rPr>
                <w:sz w:val="24"/>
                <w:szCs w:val="24"/>
              </w:rPr>
            </w:pPr>
            <w:r w:rsidRPr="00FE09E3">
              <w:rPr>
                <w:sz w:val="24"/>
                <w:szCs w:val="24"/>
              </w:rPr>
              <w:t>U nepřímé kyberšikany agresor k útoku využívá jinou osobu, která často neví o tom, že se stala nástrojem útoku – např. pomsty. Typický příklad představuje situace, kdy útočník pronikne na účet oběti (např. účet na sociální síti), prostřednictvím tohoto účtu začne dehonestovat ostatní uživatele, kteří začnou reagovat a mstít se za on-line urážky právě majiteli účtu, ze kterého byly dehonestující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V případě obou forem kyberšikany může pachatel využívat jak své vlastní identity, tak i identity falešné.</w:t>
            </w:r>
          </w:p>
          <w:p w14:paraId="36DB2732" w14:textId="77777777" w:rsidR="00581302" w:rsidRPr="00FE09E3" w:rsidRDefault="00581302" w:rsidP="0073255E">
            <w:pPr>
              <w:jc w:val="both"/>
              <w:rPr>
                <w:sz w:val="24"/>
                <w:szCs w:val="24"/>
              </w:rPr>
            </w:pPr>
            <w:r w:rsidRPr="00FE09E3">
              <w:rPr>
                <w:sz w:val="24"/>
                <w:szCs w:val="24"/>
              </w:rPr>
              <w:t xml:space="preserve">Kyberšikanu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t>Kyberšikana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Jde o kyberšikanu, jejíž podstatou je rozšířit informace o oběti mezi velké množství uživatelů. Do této kategorie lze zařadit publikování ponižujících záznamů oběti, krádeže identity, verbální formy kyberšikany (dehonestování, urážení, provokování) apod. Přítomnost publika je základní obligatorní součástí kyberšikany.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t>Kyberšikana bez přítomnosti publika (soukromá)</w:t>
            </w:r>
          </w:p>
          <w:p w14:paraId="7C8E7326" w14:textId="77777777" w:rsidR="00581302" w:rsidRPr="00FE09E3" w:rsidRDefault="00581302" w:rsidP="0073255E">
            <w:pPr>
              <w:jc w:val="both"/>
              <w:rPr>
                <w:sz w:val="24"/>
                <w:szCs w:val="24"/>
              </w:rPr>
            </w:pPr>
            <w:r w:rsidRPr="00FE09E3">
              <w:rPr>
                <w:sz w:val="24"/>
                <w:szCs w:val="24"/>
              </w:rPr>
              <w:t>Jde o kyberšikanu, ve které zpravidla komunikuje pouze pachatel a oběť, přičemž jejich komunikace je soukromá, bez přítomnosti publika. V rámci této formy kyberšikany často dochází k výměně intimních materiálů – ať již dobrovolné, nebo pod nátlakem. Do této kategorie lze zařadit kyberšikanu ve formě vydírání či vyhrožování. Komunikace probíhá prostřednictvím soukromých komunikačních kanálů – soukromého chatu v rámci sociálních sítí, instant messengerů a VoIP komunikátorů (Skype), případně prostřednictvím SMS/MMS. Projevy kyberšikany (např. dehonestování, provokování, vyhrožování, vydírání v on-line prostředí atd.) se mohou vyskytovat ve formě jednorázového útoku (tzv. nepravá kyberšikana, kyberobtěžování, kyberagrese apod.) nebo dlouhodobého útoku se vzrůstající intenzitou (tzv. pravá kyberšikana). Mezi nejznámější projevy/formy kyberšikany (Kopecký, Szotkowski, &amp; Krejčí, 2014a; Krejčí, 2010; Willard,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kyberšikanu řadíme projevy tradiční psychické šikany posílené využitím ICT, například: </w:t>
            </w:r>
          </w:p>
          <w:p w14:paraId="771FAFE8" w14:textId="77777777" w:rsidR="00581302" w:rsidRPr="00FE09E3" w:rsidRDefault="00581302" w:rsidP="0073255E">
            <w:pPr>
              <w:jc w:val="both"/>
              <w:rPr>
                <w:i/>
                <w:sz w:val="24"/>
                <w:szCs w:val="24"/>
              </w:rPr>
            </w:pPr>
            <w:r w:rsidRPr="00FE09E3">
              <w:rPr>
                <w:i/>
                <w:sz w:val="24"/>
                <w:szCs w:val="24"/>
              </w:rPr>
              <w:t xml:space="preserve">Dehonestování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Mezi typické formy kyberšikany také patří:</w:t>
            </w:r>
          </w:p>
          <w:p w14:paraId="609C0870" w14:textId="77777777" w:rsidR="00581302" w:rsidRPr="00FE09E3" w:rsidRDefault="00581302" w:rsidP="0073255E">
            <w:pPr>
              <w:jc w:val="both"/>
              <w:rPr>
                <w:i/>
                <w:sz w:val="24"/>
                <w:szCs w:val="24"/>
              </w:rPr>
            </w:pPr>
            <w:bookmarkStart w:id="4" w:name="_Toc442786335"/>
            <w:bookmarkStart w:id="5" w:name="_Toc479083769"/>
            <w:r w:rsidRPr="00FE09E3">
              <w:rPr>
                <w:i/>
                <w:sz w:val="24"/>
                <w:szCs w:val="24"/>
              </w:rPr>
              <w:t>Publikování ponižujících videozáznamů, audiozáznamů nebo fotografií</w:t>
            </w:r>
            <w:bookmarkEnd w:id="4"/>
            <w:bookmarkEnd w:id="5"/>
            <w:r w:rsidRPr="00FE09E3">
              <w:rPr>
                <w:i/>
                <w:sz w:val="24"/>
                <w:szCs w:val="24"/>
              </w:rPr>
              <w:t xml:space="preserve"> </w:t>
            </w:r>
          </w:p>
          <w:p w14:paraId="5CFCA653" w14:textId="77777777" w:rsidR="00581302" w:rsidRPr="00FE09E3" w:rsidRDefault="00581302" w:rsidP="0073255E">
            <w:pPr>
              <w:jc w:val="both"/>
              <w:rPr>
                <w:i/>
                <w:sz w:val="24"/>
                <w:szCs w:val="24"/>
              </w:rPr>
            </w:pPr>
            <w:bookmarkStart w:id="6" w:name="_Toc442786336"/>
            <w:bookmarkStart w:id="7" w:name="_Toc479083770"/>
            <w:r w:rsidRPr="00FE09E3">
              <w:rPr>
                <w:i/>
                <w:sz w:val="24"/>
                <w:szCs w:val="24"/>
              </w:rPr>
              <w:t>Ponižování a pomlouvání (denigration)</w:t>
            </w:r>
            <w:bookmarkEnd w:id="6"/>
            <w:bookmarkEnd w:id="7"/>
            <w:r w:rsidRPr="00FE09E3">
              <w:rPr>
                <w:i/>
                <w:sz w:val="24"/>
                <w:szCs w:val="24"/>
              </w:rPr>
              <w:t xml:space="preserve"> </w:t>
            </w:r>
          </w:p>
          <w:p w14:paraId="63859EBC" w14:textId="77777777" w:rsidR="00581302" w:rsidRPr="00FE09E3" w:rsidRDefault="00581302" w:rsidP="0073255E">
            <w:pPr>
              <w:jc w:val="both"/>
              <w:rPr>
                <w:i/>
                <w:sz w:val="24"/>
                <w:szCs w:val="24"/>
              </w:rPr>
            </w:pPr>
            <w:bookmarkStart w:id="8" w:name="_Toc442786337"/>
            <w:bookmarkStart w:id="9" w:name="_Toc479083771"/>
            <w:r w:rsidRPr="00FE09E3">
              <w:rPr>
                <w:i/>
                <w:sz w:val="24"/>
                <w:szCs w:val="24"/>
              </w:rPr>
              <w:t>Krádež identity (impersonation)</w:t>
            </w:r>
            <w:bookmarkEnd w:id="8"/>
            <w:bookmarkEnd w:id="9"/>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10" w:name="_Toc442786338"/>
            <w:bookmarkStart w:id="11" w:name="_Toc479083772"/>
            <w:r w:rsidRPr="00FE09E3">
              <w:rPr>
                <w:i/>
                <w:sz w:val="24"/>
                <w:szCs w:val="24"/>
              </w:rPr>
              <w:t>Ztrapňování pomocí falešných profilů</w:t>
            </w:r>
            <w:bookmarkEnd w:id="10"/>
            <w:bookmarkEnd w:id="11"/>
            <w:r w:rsidRPr="00FE09E3">
              <w:rPr>
                <w:i/>
                <w:sz w:val="24"/>
                <w:szCs w:val="24"/>
              </w:rPr>
              <w:t xml:space="preserve"> </w:t>
            </w:r>
          </w:p>
          <w:p w14:paraId="3C32A377" w14:textId="77777777" w:rsidR="00581302" w:rsidRPr="00FE09E3" w:rsidRDefault="00581302" w:rsidP="0073255E">
            <w:pPr>
              <w:jc w:val="both"/>
              <w:rPr>
                <w:i/>
                <w:sz w:val="24"/>
                <w:szCs w:val="24"/>
              </w:rPr>
            </w:pPr>
            <w:bookmarkStart w:id="12" w:name="_Toc442786339"/>
            <w:bookmarkStart w:id="13" w:name="_Toc479083773"/>
            <w:r w:rsidRPr="00FE09E3">
              <w:rPr>
                <w:i/>
                <w:sz w:val="24"/>
                <w:szCs w:val="24"/>
              </w:rPr>
              <w:t>Provokování a napadání uživatelů v online komunikaci (flaming/bashing)</w:t>
            </w:r>
            <w:bookmarkEnd w:id="12"/>
            <w:bookmarkEnd w:id="13"/>
          </w:p>
          <w:p w14:paraId="7DB5D5CE" w14:textId="77777777" w:rsidR="00581302" w:rsidRPr="00FE09E3" w:rsidRDefault="00581302" w:rsidP="0073255E">
            <w:pPr>
              <w:jc w:val="both"/>
              <w:rPr>
                <w:i/>
                <w:sz w:val="24"/>
                <w:szCs w:val="24"/>
              </w:rPr>
            </w:pPr>
            <w:bookmarkStart w:id="14" w:name="_Toc442786340"/>
            <w:bookmarkStart w:id="15" w:name="_Toc479083774"/>
            <w:r w:rsidRPr="00FE09E3">
              <w:rPr>
                <w:i/>
                <w:sz w:val="24"/>
                <w:szCs w:val="24"/>
              </w:rPr>
              <w:t>Zveřejňování cizích tajemství s cílem poškodit oběť (trickery/outing)</w:t>
            </w:r>
            <w:bookmarkEnd w:id="14"/>
            <w:bookmarkEnd w:id="15"/>
            <w:r w:rsidRPr="00FE09E3">
              <w:rPr>
                <w:i/>
                <w:sz w:val="24"/>
                <w:szCs w:val="24"/>
              </w:rPr>
              <w:t xml:space="preserve"> </w:t>
            </w:r>
          </w:p>
          <w:p w14:paraId="43D84E46" w14:textId="77777777" w:rsidR="00581302" w:rsidRPr="00FE09E3" w:rsidRDefault="00581302" w:rsidP="0073255E">
            <w:pPr>
              <w:jc w:val="both"/>
              <w:rPr>
                <w:i/>
                <w:sz w:val="24"/>
                <w:szCs w:val="24"/>
              </w:rPr>
            </w:pPr>
            <w:bookmarkStart w:id="16" w:name="_Toc442786341"/>
            <w:bookmarkStart w:id="17" w:name="_Toc479083775"/>
            <w:r w:rsidRPr="00FE09E3">
              <w:rPr>
                <w:i/>
                <w:sz w:val="24"/>
                <w:szCs w:val="24"/>
              </w:rPr>
              <w:t>Vyloučení z virtuální komunity (exclusion)</w:t>
            </w:r>
            <w:bookmarkEnd w:id="16"/>
            <w:bookmarkEnd w:id="17"/>
          </w:p>
          <w:p w14:paraId="5C3FB8CE" w14:textId="77777777" w:rsidR="00581302" w:rsidRPr="00FE09E3" w:rsidRDefault="00581302" w:rsidP="0073255E">
            <w:pPr>
              <w:jc w:val="both"/>
              <w:rPr>
                <w:i/>
                <w:sz w:val="24"/>
                <w:szCs w:val="24"/>
              </w:rPr>
            </w:pPr>
            <w:bookmarkStart w:id="18" w:name="_Toc442786342"/>
            <w:bookmarkStart w:id="19" w:name="_Toc479083776"/>
            <w:r w:rsidRPr="00FE09E3">
              <w:rPr>
                <w:i/>
                <w:sz w:val="24"/>
                <w:szCs w:val="24"/>
              </w:rPr>
              <w:t>Obtěžování (harassment)</w:t>
            </w:r>
            <w:bookmarkEnd w:id="18"/>
            <w:bookmarkEnd w:id="19"/>
            <w:r w:rsidRPr="00FE09E3">
              <w:rPr>
                <w:i/>
                <w:sz w:val="24"/>
                <w:szCs w:val="24"/>
              </w:rPr>
              <w:t xml:space="preserve"> </w:t>
            </w:r>
          </w:p>
          <w:p w14:paraId="13A1ADD3" w14:textId="77777777" w:rsidR="00581302" w:rsidRPr="00FE09E3" w:rsidRDefault="00581302" w:rsidP="0073255E">
            <w:pPr>
              <w:jc w:val="both"/>
              <w:rPr>
                <w:i/>
                <w:sz w:val="24"/>
                <w:szCs w:val="24"/>
              </w:rPr>
            </w:pPr>
            <w:bookmarkStart w:id="20" w:name="_Toc442786343"/>
            <w:bookmarkStart w:id="21" w:name="_Toc479083777"/>
            <w:r w:rsidRPr="00FE09E3">
              <w:rPr>
                <w:i/>
                <w:sz w:val="24"/>
                <w:szCs w:val="24"/>
              </w:rPr>
              <w:t>Specifické formy kyberšikany spojené s hraním on-line her</w:t>
            </w:r>
            <w:bookmarkEnd w:id="20"/>
            <w:bookmarkEnd w:id="21"/>
          </w:p>
          <w:p w14:paraId="3C963C36" w14:textId="77777777" w:rsidR="00581302" w:rsidRPr="00FE09E3" w:rsidRDefault="00581302" w:rsidP="0073255E">
            <w:pPr>
              <w:jc w:val="both"/>
              <w:rPr>
                <w:i/>
                <w:sz w:val="24"/>
                <w:szCs w:val="24"/>
              </w:rPr>
            </w:pPr>
            <w:bookmarkStart w:id="22" w:name="_Toc442786344"/>
            <w:bookmarkStart w:id="23" w:name="_Toc479083778"/>
            <w:r w:rsidRPr="00FE09E3">
              <w:rPr>
                <w:i/>
                <w:sz w:val="24"/>
                <w:szCs w:val="24"/>
              </w:rPr>
              <w:t xml:space="preserve">Happy slapping </w:t>
            </w:r>
            <w:bookmarkEnd w:id="22"/>
            <w:bookmarkEnd w:id="23"/>
            <w:r w:rsidRPr="00FE09E3">
              <w:rPr>
                <w:color w:val="545454"/>
                <w:sz w:val="24"/>
                <w:szCs w:val="24"/>
                <w:shd w:val="clear" w:color="auto" w:fill="FFFFFF"/>
              </w:rPr>
              <w:t> </w:t>
            </w:r>
            <w:r w:rsidRPr="00FE09E3">
              <w:rPr>
                <w:sz w:val="24"/>
                <w:szCs w:val="24"/>
                <w:shd w:val="clear" w:color="auto" w:fill="FFFFFF"/>
              </w:rPr>
              <w:t>(v </w:t>
            </w:r>
            <w:r w:rsidRPr="00FE09E3">
              <w:rPr>
                <w:rStyle w:val="Zv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4" w:name="_Toc479083779"/>
            <w:bookmarkStart w:id="25" w:name="_Toc442786345"/>
            <w:r w:rsidRPr="00FE09E3">
              <w:rPr>
                <w:i/>
                <w:sz w:val="24"/>
                <w:szCs w:val="24"/>
              </w:rPr>
              <w:t>Kyberstalking</w:t>
            </w:r>
            <w:bookmarkEnd w:id="24"/>
            <w:r w:rsidRPr="00FE09E3">
              <w:rPr>
                <w:i/>
                <w:sz w:val="24"/>
                <w:szCs w:val="24"/>
              </w:rPr>
              <w:t xml:space="preserve"> </w:t>
            </w:r>
            <w:bookmarkEnd w:id="25"/>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t xml:space="preserve">Webcam trolling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kyberšikany lze využít modifikované klasifikace </w:t>
            </w:r>
            <w:r w:rsidRPr="00FE09E3">
              <w:rPr>
                <w:sz w:val="24"/>
                <w:szCs w:val="24"/>
              </w:rPr>
              <w:lastRenderedPageBreak/>
              <w:t>rizikových faktorů podle Offorda a Bennetta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kyberšikany a deprese může vést k sebepoškozování či suicidnímu chování), deficity v sociálních dovednostech, hostilita a agrese, násilí, nízké sebevědomí a sebehodnocení (osoby s nízkým sebevědomím mohou více využívat on-line prostředí), negativní životní události a traumatické zážitky, selhání ve škole (může souviset s kyberšikanou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kyberšikany),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(Offord &amp; Bennett, 2002; NIDA, 2003; EMCDDA, 2009; Miovský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V oblasti prevence kyberšikany lze využít modifikované klasifikace protektivních faktorů podle Ferguse a Zimmermana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copingové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(Offord &amp; Bennett, 2002; NIDA, 2003; EMCDDA, 2009; Miovský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kyberšikany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Mezi strategické dokumenty, které jsou s prevencí kyberšikany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lastRenderedPageBreak/>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(Ciklová,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Jak předcházet kyberšikaně:</w:t>
            </w:r>
          </w:p>
          <w:p w14:paraId="26D6B669" w14:textId="77777777" w:rsidR="00581302" w:rsidRPr="00FE09E3" w:rsidRDefault="00581302" w:rsidP="0073255E">
            <w:pPr>
              <w:jc w:val="both"/>
              <w:rPr>
                <w:sz w:val="24"/>
                <w:szCs w:val="24"/>
              </w:rPr>
            </w:pPr>
            <w:r w:rsidRPr="00FE09E3">
              <w:rPr>
                <w:sz w:val="24"/>
                <w:szCs w:val="24"/>
              </w:rPr>
              <w:t xml:space="preserve">Kyberšikanu </w:t>
            </w:r>
            <w:r w:rsidRPr="005E45EC">
              <w:rPr>
                <w:sz w:val="24"/>
                <w:szCs w:val="24"/>
              </w:rPr>
              <w:t>lze zařadit mezi základní oblasti rizikového chování, konkrétně mezi šikanu a extrémní projevy agrese (Miovský,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kyberšikaně či minimalizovat její dopad, je především všeobecná primární prevence. Cílem primární prevence je předcházet rizikovému chování. Prevenci zaměřenou na oblast kyberšikana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Specifickou primární prevenci lze rozdělit do 3 úrovní, na:</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w:t>
            </w:r>
            <w:r w:rsidRPr="00FE09E3">
              <w:rPr>
                <w:szCs w:val="24"/>
              </w:rPr>
              <w:lastRenderedPageBreak/>
              <w:t>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kyberšikana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Jak předcházet kyberšikaně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Informovat žáky o netiketě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Jak předcházet kyberšikaně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ůsledně zakročovat vůči seznatelným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lastRenderedPageBreak/>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lastRenderedPageBreak/>
              <w:t>Strategie řešení kyberšikany</w:t>
            </w:r>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A. Řešení kyberšikany z pohledu oběti</w:t>
            </w:r>
          </w:p>
          <w:p w14:paraId="6306983D" w14:textId="77777777" w:rsidR="00581302" w:rsidRPr="00FE09E3" w:rsidRDefault="00581302" w:rsidP="0073255E">
            <w:pPr>
              <w:jc w:val="both"/>
              <w:rPr>
                <w:sz w:val="24"/>
                <w:szCs w:val="24"/>
              </w:rPr>
            </w:pPr>
            <w:r w:rsidRPr="00FE09E3">
              <w:rPr>
                <w:b/>
                <w:sz w:val="24"/>
                <w:szCs w:val="24"/>
              </w:rPr>
              <w:t>Před kyberútoky</w:t>
            </w:r>
            <w:r w:rsidRPr="00FE09E3">
              <w:rPr>
                <w:sz w:val="24"/>
                <w:szCs w:val="24"/>
              </w:rPr>
              <w:t xml:space="preserve"> – ať již v podobě aktivit jednorázové kyberagrese či rozvinuté kyberšikany, neexistuje stoprocentní ochrana, dokonce ani to, že oběť přestane využívat internetové či mobilní služby, kybernetický útok nezastaví – oběť pouze „zatím neví“, že je v prostředí internetu dehonestována. Je pouze otázkou času, než se o existující situaci dozví. </w:t>
            </w:r>
            <w:r w:rsidRPr="00FE09E3">
              <w:rPr>
                <w:sz w:val="24"/>
                <w:szCs w:val="24"/>
              </w:rPr>
              <w:lastRenderedPageBreak/>
              <w:t>Podle zjištění Parrisové (Varjas et al., 2010), která prováděla výzkum zaměřený na středoškoláky, lze strategie vyrovnávání se s kyberšikanou z pohledu oběti rozdělit do dvou základních skupin, a to na reaktivní a preventivní strategie (Černá et al., 2013; Varjas et al., 2010).</w:t>
            </w:r>
          </w:p>
          <w:p w14:paraId="0F0B39AD" w14:textId="77777777" w:rsidR="00581302" w:rsidRPr="00FE09E3" w:rsidRDefault="00581302" w:rsidP="0073255E">
            <w:pPr>
              <w:jc w:val="both"/>
              <w:rPr>
                <w:sz w:val="24"/>
                <w:szCs w:val="24"/>
              </w:rPr>
            </w:pPr>
            <w:r w:rsidRPr="00FE09E3">
              <w:rPr>
                <w:sz w:val="24"/>
                <w:szCs w:val="24"/>
              </w:rPr>
              <w:t>K reaktivním strategiím vyrovnávání se s kyberšikanou patří vyhýbání se (vymazání zpráv, účtu, blokování telefonních čísel, ignorování situace), přijetí (kyberšikana je vnímána jako součást života), ospravedlnění (hledání důvodů, proč není podstatné se kyberšikanou zabývat, „shazování agresora“ – je hloupý, nestojí za to apod.) a vyhledávání podpory v okolí (svěření se někomu, zapojení dalších lidí). Mezi preventivní strategie pak patřila dle názoru studentů z výzkumu Parrisové (Varjas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kyberšikany není možná – internet podle nich poskytuje tak vysokou míru anonymity, která agresorovi nahrává, že není možné se kyberšikaně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Vhodný postup pro oběť kyberšikany:</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B. Řešení kyberšikany z pohledu školy</w:t>
            </w:r>
          </w:p>
          <w:p w14:paraId="3D0D4293" w14:textId="77777777" w:rsidR="00581302" w:rsidRPr="00FE09E3" w:rsidRDefault="00581302" w:rsidP="0073255E">
            <w:pPr>
              <w:jc w:val="both"/>
              <w:rPr>
                <w:sz w:val="24"/>
                <w:szCs w:val="24"/>
              </w:rPr>
            </w:pPr>
            <w:r w:rsidRPr="00FE09E3">
              <w:rPr>
                <w:sz w:val="24"/>
                <w:szCs w:val="24"/>
              </w:rPr>
              <w:t xml:space="preserve">Vzhledem k tomu, že kyberšikana je úzce propojena s tradičními </w:t>
            </w:r>
            <w:r w:rsidRPr="00FE09E3">
              <w:rPr>
                <w:sz w:val="24"/>
                <w:szCs w:val="24"/>
              </w:rPr>
              <w:lastRenderedPageBreak/>
              <w:t>formami šikany, které běžně probíhají ve škole, kyberšikana je také v prostředí školy řešena. Před samotným řešením se však škola často rozhoduje, zda se vůbec má, může či musí do řešení kyberšikany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Mezi nejčastější argumenty proti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Pokud kyberšikana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Řešení kyberšikany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Škola nemá nástroje, jak kyberšikanu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r w:rsidRPr="00FE09E3">
              <w:rPr>
                <w:szCs w:val="24"/>
              </w:rPr>
              <w:t>Kyberšikana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Mezi nejčastější argumenty pro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r w:rsidRPr="00FE09E3">
              <w:rPr>
                <w:szCs w:val="24"/>
              </w:rPr>
              <w:t>Kyberšikana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Podle počtu obětí kyberšikany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Škola může postupovat stejně jako při řešení tradiční šikany – kyberšikana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Pokud nástroje pro řešení kyberšikany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kyberšikanou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lastRenderedPageBreak/>
              <w:t xml:space="preserve">Při řešení případů kyberšikany lze vyjít ze </w:t>
            </w:r>
            <w:r w:rsidRPr="00FE09E3">
              <w:rPr>
                <w:i/>
                <w:sz w:val="24"/>
                <w:szCs w:val="24"/>
              </w:rPr>
              <w:t>Scénáře pro obyčejnou počáteční šikanu</w:t>
            </w:r>
            <w:r w:rsidRPr="00FE09E3">
              <w:rPr>
                <w:sz w:val="24"/>
                <w:szCs w:val="24"/>
              </w:rPr>
              <w:t xml:space="preserve"> (Kolář, 2011), nicméně vzhledem ke specifikům kyberšikany nelze jeho jednotlivé fáze vždy realizovat (např. pachatel může být anonymní, neexistují svědci). Ačkoli jsou kyberšikana a šikana zpravidla úzce propojeny – např. dítě, které je obětí tradiční šikany, se stává také obětí kyberšikany – postup řešení kyberšikany je specifický a odpovídá rozdílům mezi tradiční šikanou a kyberšikanou. Pachatel může být např. anonymní, kyberšikana může probíhat v uzavřeném prostředí, kyberšikana probíhá i mimo školu a je třeba chránit oběť i mimo školní vyučování apod. Níže nabízíme základní postupy, které můžeme při řešení kyberšikany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Mezi první kroky patří zejména zklidnění oběti (ta je často rozčilená, její reakce mohou být přehnané, v některých případech až suicidní)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snapshoty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kyberšikanu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w:t>
            </w:r>
            <w:r w:rsidRPr="00FE09E3">
              <w:rPr>
                <w:sz w:val="24"/>
                <w:szCs w:val="24"/>
              </w:rPr>
              <w:lastRenderedPageBreak/>
              <w:t xml:space="preserve">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kyberšikany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6" w:name="_Toc479083799"/>
            <w:r w:rsidRPr="00FE09E3">
              <w:rPr>
                <w:b/>
                <w:i/>
                <w:sz w:val="24"/>
                <w:szCs w:val="24"/>
              </w:rPr>
              <w:t>C. Řešení kyberšikany z pohledu rodiče</w:t>
            </w:r>
            <w:bookmarkEnd w:id="26"/>
          </w:p>
          <w:p w14:paraId="6C5D7E8A" w14:textId="77777777" w:rsidR="00581302" w:rsidRPr="00FE09E3" w:rsidRDefault="00581302" w:rsidP="0073255E">
            <w:pPr>
              <w:jc w:val="both"/>
              <w:rPr>
                <w:sz w:val="24"/>
                <w:szCs w:val="24"/>
              </w:rPr>
            </w:pPr>
            <w:r w:rsidRPr="00FE09E3">
              <w:rPr>
                <w:sz w:val="24"/>
                <w:szCs w:val="24"/>
              </w:rPr>
              <w:t>Pokud rodič zjistí, že se jeho dítě stalo účastníkem kyberšikany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kyberšikana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Dalším krokem je vyšetření vzniklé situace samotným rodičem – rodič musí porozumět, co přesně se stalo, kdo byl do kyberšikany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Běžnou součástí procesu řešení kyberšikany je kontaktování školy, poskytovatele služby, v rámci které kyberšikana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 xml:space="preserve">V případě, že se dítě stalo pachatelem kyberšikany, je nutné ho potrestat, v případě opakovaného páchání kyberšikany pak trest úměrně zvyšovat, aby si uvědomilo, že je jeho chování neakceptovatelné a opravdu závažné. Zároveň je však třeba jej pozitivně motivovat tak, aby v sobě nefixovalo nežádoucí vzorec chování (např. pokud dostane nálepku </w:t>
            </w:r>
            <w:r w:rsidRPr="00FE09E3">
              <w:rPr>
                <w:sz w:val="24"/>
                <w:szCs w:val="24"/>
              </w:rPr>
              <w:lastRenderedPageBreak/>
              <w:t>agresor, bude se jako agresor v budoucnu chovat). Vždy je třeba být důsledný – pokud rodič postupuje nedůsledně a nevyžaduje dodržování pravidel, pachatel pochopí, že se takto může chovat i v budoucnu, protože mu kyberšikana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kyberšikany je vhodné nadále spolupracovat se školou, která kyberšikanu dítěte řešila, a podpořit její úsilí o zajištění bezpečnosti žáků i učitelů. Ne vždy však škola postupuje v případě kyberšikany aktivně a v některých případech dokonce situaci z různých důvodů ignoruje. V případě, že škola nechce prokazatelně kyberšikanu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lastRenderedPageBreak/>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lastRenderedPageBreak/>
              <w:t>Škola postupuje podle krizového plánu.</w:t>
            </w:r>
          </w:p>
          <w:p w14:paraId="03A57CFC" w14:textId="7777777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odbor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V závažnějších případech kyberšikany (kyberšikana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9"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To ovšem neznamená, že by škola neměla kyberšikanu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se případ kyberšikany týká. Ve všech zasažených třídách pak proveďte sociometrii, která může přítomnost rizikového komunikačního jevu odhalit. Dále postupujte podle zpracovaného krizového plánu.</w:t>
            </w:r>
            <w:r w:rsidR="00567014" w:rsidRPr="00EC155C">
              <w:rPr>
                <w:szCs w:val="24"/>
              </w:rPr>
              <w:t xml:space="preserve"> Sociometrické metody, u který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Doporučte rodičům oběti, aby se v případě kyberšikany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 xml:space="preserve">Informujte (se souhlasem zletilého žáka nebo zákonného zástupce žáka nezletilého) zasažené žáky o postupu při řešení kyberšikany. Sdělte jim, že škola trestat v tomto případě nemůže, a proto byl případ předán policii/soudu. Děti potřebují vědět, že </w:t>
            </w:r>
            <w:r w:rsidRPr="00FE09E3">
              <w:rPr>
                <w:szCs w:val="24"/>
              </w:rPr>
              <w:lastRenderedPageBreak/>
              <w:t>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 xml:space="preserve">Dojde-li k šikaně/kyberšikaně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 xml:space="preserve">V případě závažnějšího stupně šikany/kyberšikany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(kyberšikana, kybergrooming, sexting, kyberstalking, sociální sítě, sociální inženýrstvi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1"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kyberšikany, stalkingu, sextingu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2"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w:t>
            </w:r>
            <w:r w:rsidRPr="00FE09E3">
              <w:rPr>
                <w:rFonts w:ascii="Times New Roman" w:hAnsi="Times New Roman" w:cs="Times New Roman"/>
                <w:bCs/>
                <w:iCs/>
                <w:sz w:val="24"/>
                <w:szCs w:val="24"/>
              </w:rPr>
              <w:lastRenderedPageBreak/>
              <w:t>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hyperlink r:id="rId13" w:history="1">
              <w:r w:rsidRPr="00FE09E3">
                <w:rPr>
                  <w:rStyle w:val="Hypertextovodkaz"/>
                  <w:rFonts w:ascii="Times New Roman" w:hAnsi="Times New Roman" w:cs="Times New Roman"/>
                  <w:b/>
                  <w:bCs/>
                  <w:iCs/>
                  <w:sz w:val="24"/>
                  <w:szCs w:val="24"/>
                  <w:lang w:val="pt-BR"/>
                </w:rPr>
                <w:t>http://prvok.upol.cz</w:t>
              </w:r>
            </w:hyperlink>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4"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5"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6"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stránky pro teenagery, rodiče a učitele s informacemi o bezpečném používání internetu, prevenci a řešení kyberšikany.</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7"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8"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9"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20"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kyberšikany.</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1"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2"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3"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4"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5"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6"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cílem serveru je informovat uživatele internetu o poplašných, nebezpečných a zbytečných řetězových zprávách, tzv. hoaxů.</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lastRenderedPageBreak/>
              <w:t xml:space="preserve">Internet poradna, </w:t>
            </w:r>
            <w:hyperlink r:id="rId27"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r w:rsidRPr="00FE09E3">
              <w:rPr>
                <w:rFonts w:ascii="Times New Roman" w:hAnsi="Times New Roman" w:cs="Times New Roman"/>
                <w:sz w:val="24"/>
                <w:szCs w:val="24"/>
              </w:rPr>
              <w:t xml:space="preserve">Amnesty International ČR, </w:t>
            </w:r>
            <w:hyperlink r:id="rId28"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E612D3" w:rsidP="0073255E">
            <w:pPr>
              <w:numPr>
                <w:ilvl w:val="0"/>
                <w:numId w:val="20"/>
              </w:numPr>
              <w:jc w:val="both"/>
            </w:pPr>
            <w:hyperlink r:id="rId29"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E612D3" w:rsidP="0073255E">
            <w:pPr>
              <w:numPr>
                <w:ilvl w:val="0"/>
                <w:numId w:val="20"/>
              </w:numPr>
              <w:jc w:val="both"/>
              <w:rPr>
                <w:sz w:val="24"/>
                <w:szCs w:val="24"/>
              </w:rPr>
            </w:pPr>
            <w:hyperlink r:id="rId30"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E612D3" w:rsidP="0073255E">
            <w:pPr>
              <w:numPr>
                <w:ilvl w:val="0"/>
                <w:numId w:val="20"/>
              </w:numPr>
              <w:jc w:val="both"/>
              <w:rPr>
                <w:sz w:val="24"/>
                <w:szCs w:val="24"/>
              </w:rPr>
            </w:pPr>
            <w:hyperlink r:id="rId31"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E612D3" w:rsidP="0073255E">
            <w:pPr>
              <w:numPr>
                <w:ilvl w:val="0"/>
                <w:numId w:val="20"/>
              </w:numPr>
              <w:jc w:val="both"/>
              <w:rPr>
                <w:sz w:val="24"/>
                <w:szCs w:val="24"/>
              </w:rPr>
            </w:pPr>
            <w:hyperlink r:id="rId32"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E612D3" w:rsidP="0073255E">
            <w:pPr>
              <w:numPr>
                <w:ilvl w:val="0"/>
                <w:numId w:val="20"/>
              </w:numPr>
              <w:jc w:val="both"/>
            </w:pPr>
            <w:hyperlink r:id="rId33"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E612D3" w:rsidP="0073255E">
            <w:pPr>
              <w:numPr>
                <w:ilvl w:val="0"/>
                <w:numId w:val="20"/>
              </w:numPr>
              <w:jc w:val="both"/>
              <w:rPr>
                <w:sz w:val="24"/>
                <w:szCs w:val="24"/>
              </w:rPr>
            </w:pPr>
            <w:hyperlink r:id="rId34"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E612D3" w:rsidP="0073255E">
            <w:pPr>
              <w:numPr>
                <w:ilvl w:val="0"/>
                <w:numId w:val="20"/>
              </w:numPr>
              <w:jc w:val="both"/>
              <w:rPr>
                <w:sz w:val="24"/>
                <w:szCs w:val="24"/>
              </w:rPr>
            </w:pPr>
            <w:hyperlink r:id="rId35"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lastRenderedPageBreak/>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lastRenderedPageBreak/>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Podmínky zajištění bezpečnosti a ochrany zdraví dětí (velmi dobře popsáno v publikaci: Miovský, M. a kol. (2012). Návrh doporučené struktury MPP prevence rizikového chování pro ZŠ (3. kapitola). Praha: Klinika adiktologie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 xml:space="preserve">Vyjadřovat svobodně svůj názor ve všech věcech, které se ho </w:t>
            </w:r>
            <w:r w:rsidRPr="00FE09E3">
              <w:rPr>
                <w:szCs w:val="24"/>
              </w:rPr>
              <w:lastRenderedPageBreak/>
              <w:t>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w:t>
            </w:r>
            <w:r w:rsidRPr="00FE09E3">
              <w:rPr>
                <w:sz w:val="24"/>
                <w:szCs w:val="24"/>
              </w:rPr>
              <w:lastRenderedPageBreak/>
              <w:t>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D45D" w14:textId="77777777" w:rsidR="0094088B" w:rsidRDefault="0094088B" w:rsidP="00E66BC7">
      <w:r>
        <w:separator/>
      </w:r>
    </w:p>
  </w:endnote>
  <w:endnote w:type="continuationSeparator" w:id="0">
    <w:p w14:paraId="0240D1EC" w14:textId="77777777" w:rsidR="0094088B" w:rsidRDefault="0094088B"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D6AA" w14:textId="77777777" w:rsidR="00082D71" w:rsidRDefault="00082D71">
    <w:pPr>
      <w:pStyle w:val="Zpat"/>
      <w:jc w:val="center"/>
    </w:pPr>
    <w:r>
      <w:fldChar w:fldCharType="begin"/>
    </w:r>
    <w:r>
      <w:instrText>PAGE   \* MERGEFORMAT</w:instrText>
    </w:r>
    <w:r>
      <w:fldChar w:fldCharType="separate"/>
    </w:r>
    <w:r w:rsidR="00E612D3">
      <w:rPr>
        <w:noProof/>
      </w:rPr>
      <w:t>16</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1E32" w14:textId="77777777" w:rsidR="0094088B" w:rsidRDefault="0094088B" w:rsidP="00E66BC7">
      <w:r>
        <w:separator/>
      </w:r>
    </w:p>
  </w:footnote>
  <w:footnote w:type="continuationSeparator" w:id="0">
    <w:p w14:paraId="2C55D72F" w14:textId="77777777" w:rsidR="0094088B" w:rsidRDefault="0094088B"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670A5F"/>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6CCD"/>
    <w:rsid w:val="00B46A32"/>
    <w:rsid w:val="00BB7FCC"/>
    <w:rsid w:val="00BC4BDA"/>
    <w:rsid w:val="00BF5236"/>
    <w:rsid w:val="00C04A35"/>
    <w:rsid w:val="00C550D3"/>
    <w:rsid w:val="00D00F6C"/>
    <w:rsid w:val="00D65600"/>
    <w:rsid w:val="00DC2EE5"/>
    <w:rsid w:val="00DF1E7D"/>
    <w:rsid w:val="00E236C0"/>
    <w:rsid w:val="00E612D3"/>
    <w:rsid w:val="00E66BC7"/>
    <w:rsid w:val="00EC155C"/>
    <w:rsid w:val="00F105D5"/>
    <w:rsid w:val="00F5308E"/>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vok.upol.cz" TargetMode="External"/><Relationship Id="rId18" Type="http://schemas.openxmlformats.org/officeDocument/2006/relationships/hyperlink" Target="http://www.uoou.cz" TargetMode="External"/><Relationship Id="rId26" Type="http://schemas.openxmlformats.org/officeDocument/2006/relationships/hyperlink" Target="http://www.hoax.c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ntb.cz" TargetMode="External"/><Relationship Id="rId34" Type="http://schemas.openxmlformats.org/officeDocument/2006/relationships/hyperlink" Target="http://www.nuv.cz/modules/catalog/index.php?h=product&amp;a=index&amp;id_catalog=15" TargetMode="External"/><Relationship Id="rId7" Type="http://schemas.openxmlformats.org/officeDocument/2006/relationships/footnotes" Target="footnotes.xml"/><Relationship Id="rId12" Type="http://schemas.openxmlformats.org/officeDocument/2006/relationships/hyperlink" Target="http://www.e-nebezpeci.cz" TargetMode="External"/><Relationship Id="rId17" Type="http://schemas.openxmlformats.org/officeDocument/2006/relationships/hyperlink" Target="http://www.ditekrize.cz" TargetMode="External"/><Relationship Id="rId25" Type="http://schemas.openxmlformats.org/officeDocument/2006/relationships/hyperlink" Target="http://www.saferinternet.cz" TargetMode="External"/><Relationship Id="rId33" Type="http://schemas.openxmlformats.org/officeDocument/2006/relationships/hyperlink" Target="http://www.msmt.cz/vzdelavani/zakladni-vzdelavani/metodicke-doporuceni-msmt-pro-praci-s-individualni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zpecne-online.cz" TargetMode="External"/><Relationship Id="rId20" Type="http://schemas.openxmlformats.org/officeDocument/2006/relationships/hyperlink" Target="http://www.minimalizacesikany.cz/poradna" TargetMode="External"/><Relationship Id="rId29" Type="http://schemas.openxmlformats.org/officeDocument/2006/relationships/hyperlink" Target="http://www.msmt.cz/dokumenty-3/skolsky-zakon-ve-zneni-ucinnem-od-1-1-2017-do-31-8-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snam.cz" TargetMode="External"/><Relationship Id="rId24" Type="http://schemas.openxmlformats.org/officeDocument/2006/relationships/hyperlink" Target="http://www.sikana.org" TargetMode="External"/><Relationship Id="rId32" Type="http://schemas.openxmlformats.org/officeDocument/2006/relationships/hyperlink" Target="http://www.msmt.cz/file/33233/"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nkabezpeci.cz" TargetMode="External"/><Relationship Id="rId23" Type="http://schemas.openxmlformats.org/officeDocument/2006/relationships/hyperlink" Target="http://www.internetembezpecne.cz" TargetMode="External"/><Relationship Id="rId28" Type="http://schemas.openxmlformats.org/officeDocument/2006/relationships/hyperlink" Target="http://www.amnesty.cz/" TargetMode="External"/><Relationship Id="rId36" Type="http://schemas.openxmlformats.org/officeDocument/2006/relationships/header" Target="header1.xml"/><Relationship Id="rId10" Type="http://schemas.openxmlformats.org/officeDocument/2006/relationships/hyperlink" Target="http://www.e-bezpeci.cz" TargetMode="External"/><Relationship Id="rId19" Type="http://schemas.openxmlformats.org/officeDocument/2006/relationships/hyperlink" Target="http://www.minimalizacesikany.cz" TargetMode="External"/><Relationship Id="rId31" Type="http://schemas.openxmlformats.org/officeDocument/2006/relationships/hyperlink" Target="http://www.msmt.cz/file/38988/" TargetMode="External"/><Relationship Id="rId4" Type="http://schemas.microsoft.com/office/2007/relationships/stylesWithEffects" Target="stylesWithEffects.xml"/><Relationship Id="rId9" Type="http://schemas.openxmlformats.org/officeDocument/2006/relationships/hyperlink" Target="http://www.msmt.cz/file/43418/download/" TargetMode="External"/><Relationship Id="rId14" Type="http://schemas.openxmlformats.org/officeDocument/2006/relationships/hyperlink" Target="http://www.seznamsebezpecne.cz" TargetMode="External"/><Relationship Id="rId22" Type="http://schemas.openxmlformats.org/officeDocument/2006/relationships/hyperlink" Target="http://www.nebudobet.cz" TargetMode="External"/><Relationship Id="rId27" Type="http://schemas.openxmlformats.org/officeDocument/2006/relationships/hyperlink" Target="http://www.internetporadna.cz/" TargetMode="External"/><Relationship Id="rId30" Type="http://schemas.openxmlformats.org/officeDocument/2006/relationships/hyperlink" Target="http://www.msmt.cz/file/38827/" TargetMode="External"/><Relationship Id="rId35" Type="http://schemas.openxmlformats.org/officeDocument/2006/relationships/hyperlink" Target="http://esynergie.upol.cz/ditevohro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0BE7-AEC9-4118-B2A2-30DA48F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10490</Words>
  <Characters>61897</Characters>
  <Application>Microsoft Office Word</Application>
  <DocSecurity>4</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Oto Dymokurský</cp:lastModifiedBy>
  <cp:revision>2</cp:revision>
  <dcterms:created xsi:type="dcterms:W3CDTF">2018-01-11T09:45:00Z</dcterms:created>
  <dcterms:modified xsi:type="dcterms:W3CDTF">2018-01-11T09:45:00Z</dcterms:modified>
</cp:coreProperties>
</file>