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5463DE00" w14:textId="6B9B9705" w:rsidR="00566B28" w:rsidRDefault="008B150D" w:rsidP="00566B28">
      <w:pPr>
        <w:spacing w:line="240" w:lineRule="auto"/>
        <w:jc w:val="center"/>
        <w:rPr>
          <w:b/>
          <w:bCs/>
          <w:sz w:val="28"/>
          <w:szCs w:val="28"/>
        </w:rPr>
      </w:pPr>
      <w:r w:rsidRPr="008B150D">
        <w:rPr>
          <w:b/>
          <w:bCs/>
          <w:color w:val="7030A0"/>
          <w:sz w:val="48"/>
          <w:szCs w:val="48"/>
        </w:rPr>
        <w:t>Navrhování logistických systémů</w:t>
      </w: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4AFD7867" w:rsidR="00566B28" w:rsidRDefault="00566B28" w:rsidP="00566B28">
      <w:pPr>
        <w:spacing w:line="240" w:lineRule="auto"/>
        <w:rPr>
          <w:sz w:val="44"/>
          <w:szCs w:val="44"/>
        </w:rPr>
      </w:pPr>
    </w:p>
    <w:p w14:paraId="7900DC4F" w14:textId="77777777" w:rsidR="008B150D" w:rsidRDefault="008B150D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3CCFDCEE" w14:textId="0FAF20BD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Výroba produktu je ro</w:t>
      </w:r>
      <w:r>
        <w:rPr>
          <w:rStyle w:val="Zdraznnjemn"/>
          <w:i w:val="0"/>
          <w:sz w:val="22"/>
        </w:rPr>
        <w:t>zdělena na následující operace:</w:t>
      </w:r>
    </w:p>
    <w:p w14:paraId="0D5B643D" w14:textId="77777777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1.</w:t>
      </w:r>
      <w:r w:rsidRPr="008B150D">
        <w:rPr>
          <w:rStyle w:val="Zdraznnjemn"/>
          <w:i w:val="0"/>
          <w:sz w:val="22"/>
        </w:rPr>
        <w:tab/>
        <w:t>Řezání trubek</w:t>
      </w:r>
    </w:p>
    <w:p w14:paraId="06214078" w14:textId="77777777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2.</w:t>
      </w:r>
      <w:r w:rsidRPr="008B150D">
        <w:rPr>
          <w:rStyle w:val="Zdraznnjemn"/>
          <w:i w:val="0"/>
          <w:sz w:val="22"/>
        </w:rPr>
        <w:tab/>
        <w:t>Pájení</w:t>
      </w:r>
    </w:p>
    <w:p w14:paraId="44B2F9EF" w14:textId="77777777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3.</w:t>
      </w:r>
      <w:r w:rsidRPr="008B150D">
        <w:rPr>
          <w:rStyle w:val="Zdraznnjemn"/>
          <w:i w:val="0"/>
          <w:sz w:val="22"/>
        </w:rPr>
        <w:tab/>
        <w:t>Ohýbání trubek</w:t>
      </w:r>
    </w:p>
    <w:p w14:paraId="0F228628" w14:textId="4C87B891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>
        <w:rPr>
          <w:rStyle w:val="Zdraznnjemn"/>
          <w:i w:val="0"/>
          <w:sz w:val="22"/>
        </w:rPr>
        <w:t>4.</w:t>
      </w:r>
      <w:r>
        <w:rPr>
          <w:rStyle w:val="Zdraznnjemn"/>
          <w:i w:val="0"/>
          <w:sz w:val="22"/>
        </w:rPr>
        <w:tab/>
        <w:t>Kompletace trubek</w:t>
      </w:r>
    </w:p>
    <w:p w14:paraId="10F3B6E7" w14:textId="6BF79AB3" w:rsidR="008B150D" w:rsidRPr="008B150D" w:rsidRDefault="008B150D" w:rsidP="008B150D">
      <w:pPr>
        <w:spacing w:after="120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Představte si situaci, že na výrobní lince skládající se ze strojů provádějících výše uvedené operace se vyrábí 2 typy produktu. Hotový produkt typu 1 se skládá z 8 trubek o délce 50 cm, přičemž na každé trubce je napájen 1 ventilek, produkt typu 2 se skládá z 6 trubek o délce 100 cm, přičemž pouze na jedné trubce je napájen ventilek. Informace o jednotlivých operacích jsou uvedeny níže:</w:t>
      </w:r>
    </w:p>
    <w:p w14:paraId="70BC661A" w14:textId="32677BF0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b/>
          <w:i w:val="0"/>
          <w:sz w:val="22"/>
        </w:rPr>
      </w:pPr>
      <w:r>
        <w:rPr>
          <w:rStyle w:val="Zdraznnjemn"/>
          <w:b/>
          <w:i w:val="0"/>
          <w:sz w:val="22"/>
        </w:rPr>
        <w:t>Řezání</w:t>
      </w:r>
      <w:r w:rsidRPr="008B150D">
        <w:rPr>
          <w:rStyle w:val="Zdraznnjemn"/>
          <w:b/>
          <w:i w:val="0"/>
          <w:sz w:val="22"/>
        </w:rPr>
        <w:t>:</w:t>
      </w:r>
    </w:p>
    <w:p w14:paraId="234549E2" w14:textId="673F0BCF" w:rsidR="008B150D" w:rsidRPr="008B150D" w:rsidRDefault="008B150D" w:rsidP="008B150D">
      <w:pPr>
        <w:spacing w:after="120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Do řezačky vstupuje 10 metrová trubka. Čas na rozřezání 1 trubky je 12 minut. Řezačka neprodukuje žádný odpad a řeže z 10 m trubky 8 trubek na produkt typu 1 a 6 trubek na typ 2. Za řezačkou jsou zásobníky na trubky do produktů typ 1 a 2.</w:t>
      </w:r>
    </w:p>
    <w:p w14:paraId="3430372C" w14:textId="3324E2E2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b/>
          <w:i w:val="0"/>
          <w:sz w:val="22"/>
        </w:rPr>
      </w:pPr>
      <w:r>
        <w:rPr>
          <w:rStyle w:val="Zdraznnjemn"/>
          <w:b/>
          <w:i w:val="0"/>
          <w:sz w:val="22"/>
        </w:rPr>
        <w:t>Pájení</w:t>
      </w:r>
      <w:r w:rsidRPr="008B150D">
        <w:rPr>
          <w:rStyle w:val="Zdraznnjemn"/>
          <w:b/>
          <w:i w:val="0"/>
          <w:sz w:val="22"/>
        </w:rPr>
        <w:t>:</w:t>
      </w:r>
    </w:p>
    <w:p w14:paraId="6E537983" w14:textId="172914AC" w:rsidR="008B150D" w:rsidRPr="008B150D" w:rsidRDefault="008B150D" w:rsidP="008B150D">
      <w:pPr>
        <w:spacing w:after="120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Pájka ventilků pájí ventilky na trubky tak, aby v následujících strojích mohlo dojít k dokončení produktů v sekvenci 5 ks produktů typu 1 a 5 ks produktů typu 2. Napájení jednoho ventilku trvá 0,5 minuty, trubky, na které se výměník nepájí, prochází pájkou bez zdržení. Trubky po průchodu řezačkou vjíždí do zásobníku, kde čekají na ohýbání.</w:t>
      </w:r>
    </w:p>
    <w:p w14:paraId="136994B2" w14:textId="73845488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b/>
          <w:i w:val="0"/>
          <w:sz w:val="22"/>
        </w:rPr>
      </w:pPr>
      <w:r w:rsidRPr="008B150D">
        <w:rPr>
          <w:rStyle w:val="Zdraznnjemn"/>
          <w:b/>
          <w:i w:val="0"/>
          <w:sz w:val="22"/>
        </w:rPr>
        <w:t>Ohýbání:</w:t>
      </w:r>
    </w:p>
    <w:p w14:paraId="70D41C31" w14:textId="3BB40D99" w:rsidR="008B150D" w:rsidRPr="008B150D" w:rsidRDefault="008B150D" w:rsidP="008B150D">
      <w:pPr>
        <w:spacing w:after="120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Ohýbání trubky trvá u trubek pro produkt typu 1 0,75 minut a pro produkt typ 2 0,68 minut. Ohnuté trubky vjíždí do zásobníku, kde čekají na kompletaci.</w:t>
      </w:r>
    </w:p>
    <w:p w14:paraId="144A69C8" w14:textId="55D18E63" w:rsidR="008B150D" w:rsidRPr="008B150D" w:rsidRDefault="009B1C31" w:rsidP="008B150D">
      <w:pPr>
        <w:spacing w:after="120"/>
        <w:ind w:left="284" w:hanging="284"/>
        <w:jc w:val="both"/>
        <w:rPr>
          <w:rStyle w:val="Zdraznnjemn"/>
          <w:b/>
          <w:i w:val="0"/>
          <w:sz w:val="22"/>
        </w:rPr>
      </w:pPr>
      <w:r>
        <w:rPr>
          <w:rStyle w:val="Zdraznnjemn"/>
          <w:b/>
          <w:i w:val="0"/>
          <w:sz w:val="22"/>
        </w:rPr>
        <w:t>Kompletace</w:t>
      </w:r>
      <w:bookmarkStart w:id="0" w:name="_GoBack"/>
      <w:bookmarkEnd w:id="0"/>
      <w:r w:rsidR="008B150D" w:rsidRPr="008B150D">
        <w:rPr>
          <w:rStyle w:val="Zdraznnjemn"/>
          <w:b/>
          <w:i w:val="0"/>
          <w:sz w:val="22"/>
        </w:rPr>
        <w:t>:</w:t>
      </w:r>
    </w:p>
    <w:p w14:paraId="054808CD" w14:textId="45CBD5DB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Kompletační stroj kompletuje trubky za 5 minut na 1 ks hotového produktu.</w:t>
      </w:r>
    </w:p>
    <w:p w14:paraId="384C5792" w14:textId="37D81B62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b/>
          <w:i w:val="0"/>
          <w:sz w:val="22"/>
        </w:rPr>
      </w:pPr>
      <w:r w:rsidRPr="008B150D">
        <w:rPr>
          <w:rStyle w:val="Zdraznnjemn"/>
          <w:b/>
          <w:i w:val="0"/>
          <w:sz w:val="22"/>
        </w:rPr>
        <w:lastRenderedPageBreak/>
        <w:t>Úkoly:</w:t>
      </w:r>
    </w:p>
    <w:p w14:paraId="63C8440B" w14:textId="77777777" w:rsidR="008B150D" w:rsidRPr="008B150D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1.</w:t>
      </w:r>
      <w:r w:rsidRPr="008B150D">
        <w:rPr>
          <w:rStyle w:val="Zdraznnjemn"/>
          <w:i w:val="0"/>
          <w:sz w:val="22"/>
        </w:rPr>
        <w:tab/>
        <w:t>Určete kapacitu linky pro produkt 1 a 2. Uvažujte kontinuální provoz.</w:t>
      </w:r>
    </w:p>
    <w:p w14:paraId="36612CD6" w14:textId="14E74931" w:rsidR="007C35F8" w:rsidRPr="007C35F8" w:rsidRDefault="008B150D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8B150D">
        <w:rPr>
          <w:rStyle w:val="Zdraznnjemn"/>
          <w:i w:val="0"/>
          <w:sz w:val="22"/>
        </w:rPr>
        <w:t>2.</w:t>
      </w:r>
      <w:r w:rsidRPr="008B150D">
        <w:rPr>
          <w:rStyle w:val="Zdraznnjemn"/>
          <w:i w:val="0"/>
          <w:sz w:val="22"/>
        </w:rPr>
        <w:tab/>
        <w:t>Určete minimální kapacitu zásobníků mezi operacemi.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2D6F" w14:textId="77777777" w:rsidR="000B6FCA" w:rsidRDefault="000B6FCA" w:rsidP="008F253F">
      <w:r>
        <w:separator/>
      </w:r>
    </w:p>
  </w:endnote>
  <w:endnote w:type="continuationSeparator" w:id="0">
    <w:p w14:paraId="0F7759AA" w14:textId="77777777" w:rsidR="000B6FCA" w:rsidRDefault="000B6FC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66AB" w14:textId="77777777" w:rsidR="000B6FCA" w:rsidRDefault="000B6FCA" w:rsidP="008F253F">
      <w:r>
        <w:separator/>
      </w:r>
    </w:p>
  </w:footnote>
  <w:footnote w:type="continuationSeparator" w:id="0">
    <w:p w14:paraId="6EB5A97C" w14:textId="77777777" w:rsidR="000B6FCA" w:rsidRDefault="000B6FC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B6FCA"/>
    <w:rsid w:val="000D1FE1"/>
    <w:rsid w:val="000E3C1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66B28"/>
    <w:rsid w:val="005D1D09"/>
    <w:rsid w:val="006040E5"/>
    <w:rsid w:val="006661EA"/>
    <w:rsid w:val="00715782"/>
    <w:rsid w:val="00726076"/>
    <w:rsid w:val="00741E82"/>
    <w:rsid w:val="00773524"/>
    <w:rsid w:val="007805A9"/>
    <w:rsid w:val="00782245"/>
    <w:rsid w:val="007C35F8"/>
    <w:rsid w:val="008359C7"/>
    <w:rsid w:val="008B150D"/>
    <w:rsid w:val="008E09E6"/>
    <w:rsid w:val="008F253F"/>
    <w:rsid w:val="00930F3F"/>
    <w:rsid w:val="009441E4"/>
    <w:rsid w:val="00955578"/>
    <w:rsid w:val="009713ED"/>
    <w:rsid w:val="00972CFC"/>
    <w:rsid w:val="00996CB2"/>
    <w:rsid w:val="009B1C31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0720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12425-ED6A-4927-981D-9E34590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251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19</cp:revision>
  <cp:lastPrinted>2022-02-09T19:48:00Z</cp:lastPrinted>
  <dcterms:created xsi:type="dcterms:W3CDTF">2022-09-09T05:22:00Z</dcterms:created>
  <dcterms:modified xsi:type="dcterms:W3CDTF">2024-05-08T11:56:00Z</dcterms:modified>
  <cp:category/>
</cp:coreProperties>
</file>